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4B902">
      <w:pPr>
        <w:keepNext w:val="0"/>
        <w:keepLines w:val="0"/>
        <w:widowControl/>
        <w:suppressLineNumbers w:val="0"/>
        <w:pBdr>
          <w:top w:val="none" w:color="auto" w:sz="0" w:space="0"/>
          <w:left w:val="none" w:color="auto" w:sz="0" w:space="0"/>
          <w:bottom w:val="none" w:color="auto" w:sz="0" w:space="0"/>
          <w:right w:val="none" w:color="auto" w:sz="0" w:space="0"/>
        </w:pBdr>
        <w:shd w:val="clear" w:fill="E5E5E5"/>
        <w:spacing w:before="50" w:beforeAutospacing="0" w:after="0" w:afterAutospacing="0" w:line="340" w:lineRule="atLeast"/>
        <w:ind w:left="0" w:right="0" w:firstLine="0"/>
        <w:jc w:val="center"/>
        <w:rPr>
          <w:rFonts w:hint="eastAsia" w:ascii="宋体" w:hAnsi="宋体" w:eastAsia="宋体" w:cs="宋体"/>
          <w:b/>
          <w:bCs/>
          <w:i w:val="0"/>
          <w:iCs w:val="0"/>
          <w:caps w:val="0"/>
          <w:color w:val="636363"/>
          <w:spacing w:val="0"/>
          <w:sz w:val="32"/>
          <w:szCs w:val="32"/>
        </w:rPr>
      </w:pPr>
      <w:r>
        <w:rPr>
          <w:rFonts w:hint="eastAsia" w:ascii="宋体" w:hAnsi="宋体" w:eastAsia="宋体" w:cs="宋体"/>
          <w:b/>
          <w:bCs/>
          <w:i w:val="0"/>
          <w:iCs w:val="0"/>
          <w:caps w:val="0"/>
          <w:color w:val="636363"/>
          <w:spacing w:val="0"/>
          <w:kern w:val="0"/>
          <w:sz w:val="32"/>
          <w:szCs w:val="32"/>
          <w:shd w:val="clear" w:fill="E5E5E5"/>
          <w:lang w:val="en-US" w:eastAsia="zh-CN" w:bidi="ar"/>
        </w:rPr>
        <w:t>2025年度上海市哲学社会科学规划课题申报公告</w:t>
      </w:r>
    </w:p>
    <w:p w14:paraId="2BA5F4F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FF4A29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03186E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ascii="仿宋_GB2312" w:hAnsi="宋体" w:eastAsia="仿宋_GB2312" w:cs="仿宋_GB2312"/>
          <w:i w:val="0"/>
          <w:iCs w:val="0"/>
          <w:caps w:val="0"/>
          <w:color w:val="636363"/>
          <w:spacing w:val="0"/>
          <w:kern w:val="0"/>
          <w:sz w:val="32"/>
          <w:szCs w:val="32"/>
          <w:shd w:val="clear" w:fill="F9F8F8"/>
          <w:lang w:val="en-US" w:eastAsia="zh-CN" w:bidi="ar"/>
        </w:rPr>
        <w:t>根据工作安排，上海市哲学社会科学规划办公室面向全市开展</w:t>
      </w:r>
      <w:r>
        <w:rPr>
          <w:rFonts w:hint="eastAsia" w:ascii="仿宋_GB2312" w:hAnsi="宋体" w:eastAsia="仿宋_GB2312" w:cs="仿宋_GB2312"/>
          <w:i w:val="0"/>
          <w:iCs w:val="0"/>
          <w:caps w:val="0"/>
          <w:color w:val="636363"/>
          <w:spacing w:val="0"/>
          <w:kern w:val="0"/>
          <w:sz w:val="32"/>
          <w:szCs w:val="32"/>
          <w:shd w:val="clear" w:fill="F9F8F8"/>
          <w:lang w:val="en-US" w:eastAsia="zh-CN" w:bidi="ar"/>
        </w:rPr>
        <w:t>2025年度课题申报工作。现就有关事项公告如下。</w:t>
      </w:r>
    </w:p>
    <w:p w14:paraId="254AE04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D91ECF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ascii="黑体" w:hAnsi="宋体" w:eastAsia="黑体" w:cs="黑体"/>
          <w:i w:val="0"/>
          <w:iCs w:val="0"/>
          <w:caps w:val="0"/>
          <w:color w:val="636363"/>
          <w:spacing w:val="0"/>
          <w:kern w:val="0"/>
          <w:sz w:val="32"/>
          <w:szCs w:val="32"/>
          <w:shd w:val="clear" w:fill="F9F8F8"/>
          <w:lang w:val="en-US" w:eastAsia="zh-CN" w:bidi="ar"/>
        </w:rPr>
        <w:t>一、总体要求</w:t>
      </w:r>
    </w:p>
    <w:p w14:paraId="1ED34B4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A947D3A">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坚持以习近平新时代中国特色社会主义思想为指导，以习近平文化思想为引领，全面贯彻落实党的二十大和二十届二中、三中全会精神，深入贯彻落实习近平总书记考察上海重要讲话精神和对上海工作的重要指示要求，深入实施中央《关于创新实施马克思主义理论研究和建设工程的意见》，贯彻落实《上海市建设习近平文化思想最佳实践地行动方案》，坚持正确的政治方向、价值取向和学术导向，发挥市社科规划课题示范引导作用，加快构建中国哲学社会科学自主知识体系，更好服务国家和上海的工作大局。</w:t>
      </w:r>
    </w:p>
    <w:p w14:paraId="1E91E66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083D77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黑体" w:hAnsi="宋体" w:eastAsia="黑体" w:cs="黑体"/>
          <w:i w:val="0"/>
          <w:iCs w:val="0"/>
          <w:caps w:val="0"/>
          <w:color w:val="636363"/>
          <w:spacing w:val="0"/>
          <w:kern w:val="0"/>
          <w:sz w:val="32"/>
          <w:szCs w:val="32"/>
          <w:shd w:val="clear" w:fill="F9F8F8"/>
          <w:lang w:val="en-US" w:eastAsia="zh-CN" w:bidi="ar"/>
        </w:rPr>
        <w:t>二、课题设置</w:t>
      </w:r>
    </w:p>
    <w:p w14:paraId="1137DB7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A0E9B9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2025年度上海市哲学社会科学规划课题设</w:t>
      </w:r>
      <w:r>
        <w:rPr>
          <w:rFonts w:ascii="楷体_GB2312" w:hAnsi="宋体" w:eastAsia="楷体_GB2312" w:cs="楷体_GB2312"/>
          <w:b/>
          <w:bCs/>
          <w:i w:val="0"/>
          <w:iCs w:val="0"/>
          <w:caps w:val="0"/>
          <w:color w:val="636363"/>
          <w:spacing w:val="0"/>
          <w:kern w:val="0"/>
          <w:sz w:val="32"/>
          <w:szCs w:val="32"/>
          <w:shd w:val="clear" w:fill="F9F8F8"/>
          <w:lang w:val="en-US" w:eastAsia="zh-CN" w:bidi="ar"/>
        </w:rPr>
        <w:t>一般课题、青年课题</w:t>
      </w:r>
      <w:r>
        <w:rPr>
          <w:rFonts w:hint="eastAsia" w:ascii="仿宋_GB2312" w:hAnsi="宋体" w:eastAsia="仿宋_GB2312" w:cs="仿宋_GB2312"/>
          <w:i w:val="0"/>
          <w:iCs w:val="0"/>
          <w:caps w:val="0"/>
          <w:color w:val="636363"/>
          <w:spacing w:val="0"/>
          <w:kern w:val="0"/>
          <w:sz w:val="32"/>
          <w:szCs w:val="32"/>
          <w:shd w:val="clear" w:fill="F9F8F8"/>
          <w:lang w:val="en-US" w:eastAsia="zh-CN" w:bidi="ar"/>
        </w:rPr>
        <w:t>两类，面向全市公开招标、择优立项。</w:t>
      </w:r>
    </w:p>
    <w:p w14:paraId="2027A64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D6610D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3"/>
        <w:jc w:val="left"/>
        <w:rPr>
          <w:rFonts w:hint="eastAsia" w:ascii="宋体" w:hAnsi="宋体" w:eastAsia="宋体" w:cs="宋体"/>
          <w:color w:val="636363"/>
          <w:sz w:val="12"/>
          <w:szCs w:val="12"/>
        </w:rPr>
      </w:pPr>
      <w:r>
        <w:rPr>
          <w:rFonts w:hint="eastAsia" w:ascii="楷体_GB2312" w:hAnsi="宋体" w:eastAsia="楷体_GB2312" w:cs="楷体_GB2312"/>
          <w:b/>
          <w:bCs/>
          <w:i w:val="0"/>
          <w:iCs w:val="0"/>
          <w:caps w:val="0"/>
          <w:color w:val="636363"/>
          <w:spacing w:val="0"/>
          <w:kern w:val="0"/>
          <w:sz w:val="32"/>
          <w:szCs w:val="32"/>
          <w:shd w:val="clear" w:fill="F9F8F8"/>
          <w:lang w:val="en-US" w:eastAsia="zh-CN" w:bidi="ar"/>
        </w:rPr>
        <w:t>一般课题：</w:t>
      </w:r>
      <w:r>
        <w:rPr>
          <w:rFonts w:hint="eastAsia" w:ascii="仿宋_GB2312" w:hAnsi="宋体" w:eastAsia="仿宋_GB2312" w:cs="仿宋_GB2312"/>
          <w:i w:val="0"/>
          <w:iCs w:val="0"/>
          <w:caps w:val="0"/>
          <w:color w:val="636363"/>
          <w:spacing w:val="0"/>
          <w:kern w:val="0"/>
          <w:sz w:val="32"/>
          <w:szCs w:val="32"/>
          <w:shd w:val="clear" w:fill="F9F8F8"/>
          <w:lang w:val="en-US" w:eastAsia="zh-CN" w:bidi="ar"/>
        </w:rPr>
        <w:t>面向经济社会发展需求和学科建设与发展实际，资助申请人围绕党和国家工作大局、经济社会发展重要理论和实践问题、哲学社会科学重要基础和前沿问题，开展具有学科视角的创新性研究。</w:t>
      </w:r>
    </w:p>
    <w:p w14:paraId="5A5CB25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4FBC6B7">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3"/>
        <w:jc w:val="left"/>
        <w:rPr>
          <w:rFonts w:hint="eastAsia" w:ascii="宋体" w:hAnsi="宋体" w:eastAsia="宋体" w:cs="宋体"/>
          <w:color w:val="636363"/>
          <w:sz w:val="12"/>
          <w:szCs w:val="12"/>
        </w:rPr>
      </w:pPr>
      <w:r>
        <w:rPr>
          <w:rFonts w:hint="eastAsia" w:ascii="楷体_GB2312" w:hAnsi="宋体" w:eastAsia="楷体_GB2312" w:cs="楷体_GB2312"/>
          <w:b/>
          <w:bCs/>
          <w:i w:val="0"/>
          <w:iCs w:val="0"/>
          <w:caps w:val="0"/>
          <w:color w:val="636363"/>
          <w:spacing w:val="0"/>
          <w:kern w:val="0"/>
          <w:sz w:val="32"/>
          <w:szCs w:val="32"/>
          <w:shd w:val="clear" w:fill="F9F8F8"/>
          <w:lang w:val="en-US" w:eastAsia="zh-CN" w:bidi="ar"/>
        </w:rPr>
        <w:t>青年课题：</w:t>
      </w:r>
      <w:r>
        <w:rPr>
          <w:rFonts w:hint="eastAsia" w:ascii="仿宋_GB2312" w:hAnsi="宋体" w:eastAsia="仿宋_GB2312" w:cs="仿宋_GB2312"/>
          <w:i w:val="0"/>
          <w:iCs w:val="0"/>
          <w:caps w:val="0"/>
          <w:color w:val="636363"/>
          <w:spacing w:val="0"/>
          <w:kern w:val="0"/>
          <w:sz w:val="32"/>
          <w:szCs w:val="32"/>
          <w:shd w:val="clear" w:fill="F9F8F8"/>
          <w:lang w:val="en-US" w:eastAsia="zh-CN" w:bidi="ar"/>
        </w:rPr>
        <w:t>旨在加强对青年社科人才的扶持和培养，发挥青年学者优势，开展原创性研究，推进知识创新、理论创新、方法创新和应用创新。</w:t>
      </w:r>
    </w:p>
    <w:p w14:paraId="6EA981D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B0112B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一般课题每项资助经费 8 万元，青年课题每项资助经费 6 万元。课题正式立项即拨付 60% 研究经费，剩余 40% 经费根据课题完成情况和成果质量进行差别化拨付。</w:t>
      </w:r>
    </w:p>
    <w:p w14:paraId="56DBA7E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002EFD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黑体" w:hAnsi="宋体" w:eastAsia="黑体" w:cs="黑体"/>
          <w:i w:val="0"/>
          <w:iCs w:val="0"/>
          <w:caps w:val="0"/>
          <w:color w:val="636363"/>
          <w:spacing w:val="0"/>
          <w:kern w:val="0"/>
          <w:sz w:val="32"/>
          <w:szCs w:val="32"/>
          <w:shd w:val="clear" w:fill="F9F8F8"/>
          <w:lang w:val="en-US" w:eastAsia="zh-CN" w:bidi="ar"/>
        </w:rPr>
        <w:t>三、申报要求</w:t>
      </w:r>
    </w:p>
    <w:p w14:paraId="71FE53F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AB64F5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（一）申报市社科规划课题，要体现鲜明的时代特征、问题意识和创新导向，着力推出体现国家水平和上海特色的研究成果。</w:t>
      </w:r>
      <w:r>
        <w:rPr>
          <w:rFonts w:hint="eastAsia" w:ascii="楷体_GB2312" w:hAnsi="宋体" w:eastAsia="楷体_GB2312" w:cs="楷体_GB2312"/>
          <w:b/>
          <w:bCs/>
          <w:i w:val="0"/>
          <w:iCs w:val="0"/>
          <w:caps w:val="0"/>
          <w:color w:val="636363"/>
          <w:spacing w:val="0"/>
          <w:kern w:val="0"/>
          <w:sz w:val="32"/>
          <w:szCs w:val="32"/>
          <w:shd w:val="clear" w:fill="F9F8F8"/>
          <w:lang w:val="en-US" w:eastAsia="zh-CN" w:bidi="ar"/>
        </w:rPr>
        <w:t>党的创新理论体系化学理化研究</w:t>
      </w:r>
      <w:r>
        <w:rPr>
          <w:rFonts w:hint="eastAsia" w:ascii="仿宋_GB2312" w:hAnsi="宋体" w:eastAsia="仿宋_GB2312" w:cs="仿宋_GB2312"/>
          <w:i w:val="0"/>
          <w:iCs w:val="0"/>
          <w:caps w:val="0"/>
          <w:color w:val="636363"/>
          <w:spacing w:val="0"/>
          <w:kern w:val="0"/>
          <w:sz w:val="32"/>
          <w:szCs w:val="32"/>
          <w:shd w:val="clear" w:fill="F9F8F8"/>
          <w:lang w:val="en-US" w:eastAsia="zh-CN" w:bidi="ar"/>
        </w:rPr>
        <w:t>要充分运用哲学社会科学各学科的学术资源，从学术基础、实践导向、国际视野、历史维度等方面着力，系统阐释其蕴含的道理学理哲理，加强系统性整体性、分领域分专题研究。</w:t>
      </w:r>
      <w:r>
        <w:rPr>
          <w:rFonts w:hint="eastAsia" w:ascii="楷体_GB2312" w:hAnsi="宋体" w:eastAsia="楷体_GB2312" w:cs="楷体_GB2312"/>
          <w:b/>
          <w:bCs/>
          <w:i w:val="0"/>
          <w:iCs w:val="0"/>
          <w:caps w:val="0"/>
          <w:color w:val="636363"/>
          <w:spacing w:val="0"/>
          <w:kern w:val="0"/>
          <w:sz w:val="32"/>
          <w:szCs w:val="32"/>
          <w:shd w:val="clear" w:fill="F9F8F8"/>
          <w:lang w:val="en-US" w:eastAsia="zh-CN" w:bidi="ar"/>
        </w:rPr>
        <w:t>中国哲学社会科学自主知识体系研究</w:t>
      </w:r>
      <w:r>
        <w:rPr>
          <w:rFonts w:hint="eastAsia" w:ascii="仿宋_GB2312" w:hAnsi="宋体" w:eastAsia="仿宋_GB2312" w:cs="仿宋_GB2312"/>
          <w:i w:val="0"/>
          <w:iCs w:val="0"/>
          <w:caps w:val="0"/>
          <w:color w:val="636363"/>
          <w:spacing w:val="0"/>
          <w:kern w:val="0"/>
          <w:sz w:val="32"/>
          <w:szCs w:val="32"/>
          <w:shd w:val="clear" w:fill="F9F8F8"/>
          <w:lang w:val="en-US" w:eastAsia="zh-CN" w:bidi="ar"/>
        </w:rPr>
        <w:t>要深化中国发展实践和经验的学术总结，立足中国历史与国情，聚焦中国式现代化理论与实践，总结普遍性规律、提炼学理性概念，升华具有普遍意义的中国理论。</w:t>
      </w:r>
      <w:r>
        <w:rPr>
          <w:rFonts w:hint="eastAsia" w:ascii="楷体_GB2312" w:hAnsi="宋体" w:eastAsia="楷体_GB2312" w:cs="楷体_GB2312"/>
          <w:b/>
          <w:bCs/>
          <w:i w:val="0"/>
          <w:iCs w:val="0"/>
          <w:caps w:val="0"/>
          <w:color w:val="636363"/>
          <w:spacing w:val="0"/>
          <w:kern w:val="0"/>
          <w:sz w:val="32"/>
          <w:szCs w:val="32"/>
          <w:shd w:val="clear" w:fill="F9F8F8"/>
          <w:lang w:val="en-US" w:eastAsia="zh-CN" w:bidi="ar"/>
        </w:rPr>
        <w:t>重大基础问题研究</w:t>
      </w:r>
      <w:r>
        <w:rPr>
          <w:rFonts w:hint="eastAsia" w:ascii="仿宋_GB2312" w:hAnsi="宋体" w:eastAsia="仿宋_GB2312" w:cs="仿宋_GB2312"/>
          <w:i w:val="0"/>
          <w:iCs w:val="0"/>
          <w:caps w:val="0"/>
          <w:color w:val="636363"/>
          <w:spacing w:val="0"/>
          <w:kern w:val="0"/>
          <w:sz w:val="32"/>
          <w:szCs w:val="32"/>
          <w:shd w:val="clear" w:fill="F9F8F8"/>
          <w:lang w:val="en-US" w:eastAsia="zh-CN" w:bidi="ar"/>
        </w:rPr>
        <w:t>要深化中国历史文化研究，密切跟踪国内外学术发展和学科建设前沿，具有较高的主体性、原创性和学术思想性，促进中国学问的丰富创新。</w:t>
      </w:r>
      <w:r>
        <w:rPr>
          <w:rFonts w:hint="eastAsia" w:ascii="楷体_GB2312" w:hAnsi="宋体" w:eastAsia="楷体_GB2312" w:cs="楷体_GB2312"/>
          <w:b/>
          <w:bCs/>
          <w:i w:val="0"/>
          <w:iCs w:val="0"/>
          <w:caps w:val="0"/>
          <w:color w:val="636363"/>
          <w:spacing w:val="0"/>
          <w:kern w:val="0"/>
          <w:sz w:val="32"/>
          <w:szCs w:val="32"/>
          <w:shd w:val="clear" w:fill="F9F8F8"/>
          <w:lang w:val="en-US" w:eastAsia="zh-CN" w:bidi="ar"/>
        </w:rPr>
        <w:t>重大现实问题研究</w:t>
      </w:r>
      <w:r>
        <w:rPr>
          <w:rFonts w:hint="eastAsia" w:ascii="仿宋_GB2312" w:hAnsi="宋体" w:eastAsia="仿宋_GB2312" w:cs="仿宋_GB2312"/>
          <w:i w:val="0"/>
          <w:iCs w:val="0"/>
          <w:caps w:val="0"/>
          <w:color w:val="636363"/>
          <w:spacing w:val="0"/>
          <w:kern w:val="0"/>
          <w:sz w:val="32"/>
          <w:szCs w:val="32"/>
          <w:shd w:val="clear" w:fill="F9F8F8"/>
          <w:lang w:val="en-US" w:eastAsia="zh-CN" w:bidi="ar"/>
        </w:rPr>
        <w:t>要立足党和国家事业发展需要，聚焦国家和上海改革开放创新发展的全局性、战略性和前瞻性重大理论和现实问题，具有较强的现实性、针对性和决策参考价值。</w:t>
      </w:r>
      <w:r>
        <w:rPr>
          <w:rFonts w:hint="eastAsia" w:ascii="楷体_GB2312" w:hAnsi="宋体" w:eastAsia="楷体_GB2312" w:cs="楷体_GB2312"/>
          <w:b/>
          <w:bCs/>
          <w:i w:val="0"/>
          <w:iCs w:val="0"/>
          <w:caps w:val="0"/>
          <w:color w:val="636363"/>
          <w:spacing w:val="0"/>
          <w:kern w:val="0"/>
          <w:sz w:val="32"/>
          <w:szCs w:val="32"/>
          <w:shd w:val="clear" w:fill="F9F8F8"/>
          <w:lang w:val="en-US" w:eastAsia="zh-CN" w:bidi="ar"/>
        </w:rPr>
        <w:t>区域国别研究</w:t>
      </w:r>
      <w:r>
        <w:rPr>
          <w:rFonts w:hint="eastAsia" w:ascii="仿宋_GB2312" w:hAnsi="宋体" w:eastAsia="仿宋_GB2312" w:cs="仿宋_GB2312"/>
          <w:i w:val="0"/>
          <w:iCs w:val="0"/>
          <w:caps w:val="0"/>
          <w:color w:val="636363"/>
          <w:spacing w:val="0"/>
          <w:kern w:val="0"/>
          <w:sz w:val="32"/>
          <w:szCs w:val="32"/>
          <w:shd w:val="clear" w:fill="F9F8F8"/>
          <w:lang w:val="en-US" w:eastAsia="zh-CN" w:bidi="ar"/>
        </w:rPr>
        <w:t>要系统开展重要国家、重点区域的政治、经济、科技、文化、社会、法律、宗教等全方位研究，深化中外历史、文化、发展道路等比较研究。</w:t>
      </w:r>
      <w:r>
        <w:rPr>
          <w:rFonts w:hint="eastAsia" w:ascii="楷体_GB2312" w:hAnsi="宋体" w:eastAsia="楷体_GB2312" w:cs="楷体_GB2312"/>
          <w:b/>
          <w:bCs/>
          <w:i w:val="0"/>
          <w:iCs w:val="0"/>
          <w:caps w:val="0"/>
          <w:color w:val="636363"/>
          <w:spacing w:val="0"/>
          <w:kern w:val="0"/>
          <w:sz w:val="32"/>
          <w:szCs w:val="32"/>
          <w:shd w:val="clear" w:fill="F9F8F8"/>
          <w:lang w:val="en-US" w:eastAsia="zh-CN" w:bidi="ar"/>
        </w:rPr>
        <w:t>交叉研究</w:t>
      </w:r>
      <w:r>
        <w:rPr>
          <w:rFonts w:hint="eastAsia" w:ascii="仿宋_GB2312" w:hAnsi="宋体" w:eastAsia="仿宋_GB2312" w:cs="仿宋_GB2312"/>
          <w:i w:val="0"/>
          <w:iCs w:val="0"/>
          <w:caps w:val="0"/>
          <w:color w:val="636363"/>
          <w:spacing w:val="0"/>
          <w:kern w:val="0"/>
          <w:sz w:val="32"/>
          <w:szCs w:val="32"/>
          <w:shd w:val="clear" w:fill="F9F8F8"/>
          <w:lang w:val="en-US" w:eastAsia="zh-CN" w:bidi="ar"/>
        </w:rPr>
        <w:t>要打破学科壁垒，推动哲学社会科学与新技术、新方法、新范式的融合，组建跨学科创新团队，在交叉融合的基础上促进原始创新。</w:t>
      </w:r>
    </w:p>
    <w:p w14:paraId="34D2545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22BD53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（二）学科类研究不分学科发布具体课题指南。申请人可对照国家社科基金、市社科规划课题近年已立项课题和研究成果，着眼国家需求和学科发展，从学科视角按照选题规范自主拟定题目申报。</w:t>
      </w:r>
    </w:p>
    <w:p w14:paraId="066430A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A4DCDD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三）市社科规划办聚焦习近平新时代中国特色社会主义思想体系化学理化研究阐释、构建中国哲学社会科学自主知识体系等重大战略任务，围绕事关国家战略和上海发展的重大理论和现实问题，拟定了一批方向性研究选题（见附件1），申请人可结合自身学术专长和研究基础，参照选题方向，设计具体题目进行申报，也可自主拟定题目进行申报。</w:t>
      </w:r>
    </w:p>
    <w:p w14:paraId="3ECF20F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D1B521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（四）申报课题的选题表述要符合课题定位，突出问题导向、学科视角，科学严谨、简明规范，避免引起歧义或争议。</w:t>
      </w:r>
    </w:p>
    <w:p w14:paraId="235E1DC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A47FBC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五）课题申报按学科进行，学科选择参见《上海市哲学社会科学规划课题申报数据代码表》中的学科分类目录。跨学科研究选题要以“靠近优先”原则，选择一个主学科进行申报，同时列出1-2个相关学科。区域国别研究、交叉研究单独申报。</w:t>
      </w:r>
    </w:p>
    <w:p w14:paraId="7467C59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568F48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（六）课题组列入研究成员须征得本人同意并签字确认，否则视为违规申报。申请人可根据实际研究需要，吸收境外研究人员作为课题组成员。</w:t>
      </w:r>
    </w:p>
    <w:p w14:paraId="75D8B68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5EA576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（七）所有课题应于2027年12月31日前完成研究，其中，应用研究类课题原则上一年内完成。课题结项成果将择优纳入上海推进哲学社会科学创新体系建设“五大文库”出版资助。</w:t>
      </w:r>
    </w:p>
    <w:p w14:paraId="494B52D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AB5251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黑体" w:hAnsi="宋体" w:eastAsia="黑体" w:cs="黑体"/>
          <w:i w:val="0"/>
          <w:iCs w:val="0"/>
          <w:caps w:val="0"/>
          <w:color w:val="636363"/>
          <w:spacing w:val="0"/>
          <w:kern w:val="0"/>
          <w:sz w:val="32"/>
          <w:szCs w:val="32"/>
          <w:shd w:val="clear" w:fill="F9F8F8"/>
          <w:lang w:val="en-US" w:eastAsia="zh-CN" w:bidi="ar"/>
        </w:rPr>
        <w:t>四、申报资格</w:t>
      </w:r>
    </w:p>
    <w:p w14:paraId="78E3750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A03833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3"/>
        <w:jc w:val="left"/>
        <w:rPr>
          <w:rFonts w:hint="eastAsia" w:ascii="宋体" w:hAnsi="宋体" w:eastAsia="宋体" w:cs="宋体"/>
          <w:color w:val="636363"/>
          <w:sz w:val="12"/>
          <w:szCs w:val="12"/>
        </w:rPr>
      </w:pPr>
      <w:r>
        <w:rPr>
          <w:rFonts w:hint="eastAsia" w:ascii="楷体_GB2312" w:hAnsi="宋体" w:eastAsia="楷体_GB2312" w:cs="楷体_GB2312"/>
          <w:b/>
          <w:bCs/>
          <w:i w:val="0"/>
          <w:iCs w:val="0"/>
          <w:caps w:val="0"/>
          <w:color w:val="636363"/>
          <w:spacing w:val="0"/>
          <w:kern w:val="0"/>
          <w:sz w:val="32"/>
          <w:szCs w:val="32"/>
          <w:shd w:val="clear" w:fill="F9F8F8"/>
          <w:lang w:val="en-US" w:eastAsia="zh-CN" w:bidi="ar"/>
        </w:rPr>
        <w:t>（一）申请单位须具备以下条件：</w:t>
      </w:r>
    </w:p>
    <w:p w14:paraId="2F06C3D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58ACD7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1．在相关领域具有较雄厚的学术资源和研究实力。</w:t>
      </w:r>
    </w:p>
    <w:p w14:paraId="785EADF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EDE3A8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2．设有专门负责科研管理工作的职能部门。</w:t>
      </w:r>
    </w:p>
    <w:p w14:paraId="4ECE63F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BEAB05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3．能够提供开展研究的必要条件并承诺信誉保证。</w:t>
      </w:r>
    </w:p>
    <w:p w14:paraId="671F0D5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5C5E33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4．鼓励社会智库等研究机构参与申报。</w:t>
      </w:r>
    </w:p>
    <w:p w14:paraId="132BA3D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E87918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3"/>
        <w:jc w:val="left"/>
        <w:rPr>
          <w:rFonts w:hint="eastAsia" w:ascii="宋体" w:hAnsi="宋体" w:eastAsia="宋体" w:cs="宋体"/>
          <w:color w:val="636363"/>
          <w:sz w:val="12"/>
          <w:szCs w:val="12"/>
        </w:rPr>
      </w:pPr>
      <w:r>
        <w:rPr>
          <w:rFonts w:hint="eastAsia" w:ascii="楷体_GB2312" w:hAnsi="宋体" w:eastAsia="楷体_GB2312" w:cs="楷体_GB2312"/>
          <w:b/>
          <w:bCs/>
          <w:i w:val="0"/>
          <w:iCs w:val="0"/>
          <w:caps w:val="0"/>
          <w:color w:val="636363"/>
          <w:spacing w:val="0"/>
          <w:kern w:val="0"/>
          <w:sz w:val="32"/>
          <w:szCs w:val="32"/>
          <w:shd w:val="clear" w:fill="F9F8F8"/>
          <w:lang w:val="en-US" w:eastAsia="zh-CN" w:bidi="ar"/>
        </w:rPr>
        <w:t>（二）申请人须具备下列条件：</w:t>
      </w:r>
    </w:p>
    <w:p w14:paraId="619374A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991416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1．受聘于我市社科研究单位，遵守中华人民共和国宪法和法律，遵守市社科规划课题管理规定，具有独立开展研究和组织开展研究的能力，能够承担实质性研究工作，品行端正、学风优良。</w:t>
      </w:r>
    </w:p>
    <w:p w14:paraId="1A6C6CE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9F5D23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2．一般课题申请人须具有副高级以上（含）专业技术职称（职务）或具有博士学位；青年课题申报条件参照《2025年国家社会科学基金年度项目申报公告》第四条第二款执行。</w:t>
      </w:r>
    </w:p>
    <w:p w14:paraId="36B7A8F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1FE12B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3．以兼职人员身份从兼职单位申报的，兼职单位须审核兼职人员正式聘用关系的真实性，承担课题管理职责并承诺信誉保证。</w:t>
      </w:r>
    </w:p>
    <w:p w14:paraId="25E8222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AD799A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4．全日制在读研究生不能申请市社科规划课题。符合申报要求的在站博士后人员须从所在博士后工作站申请，在职博士后可以从所在工作单位或博士后工作站申请。</w:t>
      </w:r>
    </w:p>
    <w:p w14:paraId="61551C1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A5B943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3"/>
        <w:jc w:val="left"/>
        <w:rPr>
          <w:rFonts w:hint="eastAsia" w:ascii="宋体" w:hAnsi="宋体" w:eastAsia="宋体" w:cs="宋体"/>
          <w:color w:val="636363"/>
          <w:sz w:val="12"/>
          <w:szCs w:val="12"/>
        </w:rPr>
      </w:pPr>
      <w:r>
        <w:rPr>
          <w:rFonts w:hint="eastAsia" w:ascii="楷体_GB2312" w:hAnsi="宋体" w:eastAsia="楷体_GB2312" w:cs="楷体_GB2312"/>
          <w:b/>
          <w:bCs/>
          <w:i w:val="0"/>
          <w:iCs w:val="0"/>
          <w:caps w:val="0"/>
          <w:color w:val="636363"/>
          <w:spacing w:val="0"/>
          <w:kern w:val="0"/>
          <w:sz w:val="32"/>
          <w:szCs w:val="32"/>
          <w:shd w:val="clear" w:fill="F9F8F8"/>
          <w:lang w:val="en-US" w:eastAsia="zh-CN" w:bidi="ar"/>
        </w:rPr>
        <w:t>（三）为避免一题多报、交叉申请和重复立项，确保申请人有足够的时间和精力从事课题研究，市社科规划课题申报作如下限定：</w:t>
      </w:r>
    </w:p>
    <w:p w14:paraId="12A2D77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D2D9895">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1．申请人只能申报一项课题，且不能作为课题组成员参与本次申报的其他课题；课题组成员最多参与两项课题申报；在研课题的课题组成员最多参与一项课题申报。</w:t>
      </w:r>
    </w:p>
    <w:p w14:paraId="13D8582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02DA71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2．在研国家社科基金项目、国家自然科学基金项目、教育部人文社科项目、市社科规划课题负责人不能申请新的课题（结项证书标注日期在2025年8月28日之前）。</w:t>
      </w:r>
    </w:p>
    <w:p w14:paraId="667DF69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0C55195">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申请人同年度申报国家社科基金项目、国家自然科学基金项目以及其他国家级科研项目的，其课题组成员不能以内容相同或相近选题申报市社科规划课题。若申请人申报的本年度国家级项目获得立项资助，所申报的市社科规划课题不再予以立项。</w:t>
      </w:r>
    </w:p>
    <w:p w14:paraId="0F0ED2B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8F52855">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4．凡在内容上与在研或已结项的省部级以上课题有较大关联的，须在《申请书》中详细注明所申请课题与已承担课题的联系和区别，否则视为重复申报。不得以内容基本相同或相近的成果申请多项课题结项。</w:t>
      </w:r>
    </w:p>
    <w:p w14:paraId="26EF7C3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63295A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凡以博士学位论文或博士后出站报告为基础申报市社科规划课题的，须在《申请书》中注明所申请课题与学位论文（出站报告）的联系和区别，并承诺在原论文（出站报告）基础上进行实质性修改，预期成果与学位论文（出站报告）的重复比例不得超过60%。申请结项时须提交学位论文（出站报告）原件。</w:t>
      </w:r>
    </w:p>
    <w:p w14:paraId="5DC3A35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19443D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6．不得使用与已出版的内容基本相同或相近的研究成果申请市社科规划课题。</w:t>
      </w:r>
    </w:p>
    <w:p w14:paraId="28748A1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DC9ADD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7．立项后凡以市社科规划课题名义发表阶段性成果或最终成果，不得同时标注其他基金或项目资助字样。</w:t>
      </w:r>
    </w:p>
    <w:p w14:paraId="6F883D7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729024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黑体" w:hAnsi="宋体" w:eastAsia="黑体" w:cs="黑体"/>
          <w:i w:val="0"/>
          <w:iCs w:val="0"/>
          <w:caps w:val="0"/>
          <w:color w:val="636363"/>
          <w:spacing w:val="0"/>
          <w:kern w:val="0"/>
          <w:sz w:val="32"/>
          <w:szCs w:val="32"/>
          <w:shd w:val="clear" w:fill="F9F8F8"/>
          <w:lang w:val="en-US" w:eastAsia="zh-CN" w:bidi="ar"/>
        </w:rPr>
        <w:t>五、工作安排</w:t>
      </w:r>
    </w:p>
    <w:p w14:paraId="3B6E9E8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61A1FFA">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（一）市社科规划课题实行网络申报。所需材料从我办网站（https://www.sh-popss.gov.cn）下载。</w:t>
      </w:r>
    </w:p>
    <w:p w14:paraId="7844ADA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EE469B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二）申请人需登录上海市哲学社会科学规划课题科研创新服务管理平台，注册个人用户（已注册用户直接登录系统即可），完成实名认证，补充（更新）个人资料，填写相关申报数据，提交所在单位科研管理部门审核。</w:t>
      </w:r>
    </w:p>
    <w:p w14:paraId="228F6C1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351C24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（三）各单位科研管理部门要加强对课题申报工作的组织和指导，严格审核申报资格、前期研究成果的真实性、课题组的研究实力和必备条件等，保证《申请书》数据填写的准确性和完整性。</w:t>
      </w:r>
    </w:p>
    <w:p w14:paraId="6E50651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EA2721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凡有下列情形之一的，不予受理：</w:t>
      </w:r>
    </w:p>
    <w:p w14:paraId="0167EA9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DF29D6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1．申请资格不符合《上海市哲学社会科学规划课题管理办法》相关规定的。</w:t>
      </w:r>
    </w:p>
    <w:p w14:paraId="56B7C4B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DCDB23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2．选题不符合《申报公告》要求，或不具有重要研究价值；“课题论证”明显简单草率，填写内容有明显缺项；无相关前期研究成果或前期研究成果与所申报课题无关的。</w:t>
      </w:r>
    </w:p>
    <w:p w14:paraId="01D9B8F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335BA2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3．申请书填写内容（包括申请人及课题组成员的基本情况、前期成果等）不实、弄虚作假，或相关成果存在知识产权争议的。</w:t>
      </w:r>
    </w:p>
    <w:p w14:paraId="62E8A06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ECDE7E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4．申请人主持的各类国家社科基金项目和市社科规划课题被撤项或终止处理尚在资格限制期内，或有其他信誉不良记录被通报批评的。</w:t>
      </w:r>
    </w:p>
    <w:p w14:paraId="7A21F1B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2B20FA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5．未按要求进行实名认证，或提交的证件信息与用户注册时不符的。</w:t>
      </w:r>
    </w:p>
    <w:p w14:paraId="0911EA6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3F20FD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（四）课题申报系统于8月15日零时至8月25日17时开放，逾期系统自动关闭，不再受理申报。各单位科研管理部门须于8月28日前完成网上申报数据审核。</w:t>
      </w:r>
    </w:p>
    <w:p w14:paraId="10A7E7C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95051C3">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联 系 人：徐  冲  徐畅思</w:t>
      </w:r>
    </w:p>
    <w:p w14:paraId="49786FD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458503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联系电话：24022817  24022378</w:t>
      </w:r>
    </w:p>
    <w:p w14:paraId="406B5ED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900834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电子邮箱：sskkt@sh-popss.gov.cn</w:t>
      </w:r>
    </w:p>
    <w:p w14:paraId="2C5EC78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01A5AB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5F8B57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附件：1．研究选题</w:t>
      </w:r>
    </w:p>
    <w:p w14:paraId="1B4FC3F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94AA4E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160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w:t>
      </w:r>
      <w:r>
        <w:rPr>
          <w:rFonts w:hint="eastAsia" w:ascii="仿宋_GB2312" w:hAnsi="宋体" w:eastAsia="仿宋_GB2312" w:cs="仿宋_GB2312"/>
          <w:i w:val="0"/>
          <w:iCs w:val="0"/>
          <w:caps w:val="0"/>
          <w:color w:val="636363"/>
          <w:spacing w:val="0"/>
          <w:kern w:val="0"/>
          <w:sz w:val="32"/>
          <w:szCs w:val="32"/>
          <w:u w:val="none"/>
          <w:shd w:val="clear" w:fill="F9F8F8"/>
          <w:lang w:val="en-US" w:eastAsia="zh-CN" w:bidi="ar"/>
        </w:rPr>
        <w:fldChar w:fldCharType="begin"/>
      </w:r>
      <w:r>
        <w:rPr>
          <w:rFonts w:hint="eastAsia" w:ascii="仿宋_GB2312" w:hAnsi="宋体" w:eastAsia="仿宋_GB2312" w:cs="仿宋_GB2312"/>
          <w:i w:val="0"/>
          <w:iCs w:val="0"/>
          <w:caps w:val="0"/>
          <w:color w:val="636363"/>
          <w:spacing w:val="0"/>
          <w:kern w:val="0"/>
          <w:sz w:val="32"/>
          <w:szCs w:val="32"/>
          <w:u w:val="none"/>
          <w:shd w:val="clear" w:fill="F9F8F8"/>
          <w:lang w:val="en-US" w:eastAsia="zh-CN" w:bidi="ar"/>
        </w:rPr>
        <w:instrText xml:space="preserve"> HYPERLINK "https://www.sh-popss.gov.cn/url/2025%E8%AF%BE%E9%A2%98%E7%94%B3%E8%AF%B7%E4%B9%A6.doc" </w:instrText>
      </w:r>
      <w:r>
        <w:rPr>
          <w:rFonts w:hint="eastAsia" w:ascii="仿宋_GB2312" w:hAnsi="宋体" w:eastAsia="仿宋_GB2312" w:cs="仿宋_GB2312"/>
          <w:i w:val="0"/>
          <w:iCs w:val="0"/>
          <w:caps w:val="0"/>
          <w:color w:val="636363"/>
          <w:spacing w:val="0"/>
          <w:kern w:val="0"/>
          <w:sz w:val="32"/>
          <w:szCs w:val="32"/>
          <w:u w:val="none"/>
          <w:shd w:val="clear" w:fill="F9F8F8"/>
          <w:lang w:val="en-US" w:eastAsia="zh-CN" w:bidi="ar"/>
        </w:rPr>
        <w:fldChar w:fldCharType="separate"/>
      </w:r>
      <w:r>
        <w:rPr>
          <w:rStyle w:val="4"/>
          <w:rFonts w:hint="eastAsia" w:ascii="仿宋_GB2312" w:hAnsi="宋体" w:eastAsia="仿宋_GB2312" w:cs="仿宋_GB2312"/>
          <w:i w:val="0"/>
          <w:iCs w:val="0"/>
          <w:caps w:val="0"/>
          <w:color w:val="636363"/>
          <w:spacing w:val="0"/>
          <w:sz w:val="32"/>
          <w:szCs w:val="32"/>
          <w:u w:val="none"/>
          <w:shd w:val="clear" w:fill="F9F8F8"/>
        </w:rPr>
        <w:t>课题申请书</w:t>
      </w:r>
      <w:r>
        <w:rPr>
          <w:rFonts w:hint="eastAsia" w:ascii="仿宋_GB2312" w:hAnsi="宋体" w:eastAsia="仿宋_GB2312" w:cs="仿宋_GB2312"/>
          <w:i w:val="0"/>
          <w:iCs w:val="0"/>
          <w:caps w:val="0"/>
          <w:color w:val="636363"/>
          <w:spacing w:val="0"/>
          <w:kern w:val="0"/>
          <w:sz w:val="32"/>
          <w:szCs w:val="32"/>
          <w:u w:val="none"/>
          <w:shd w:val="clear" w:fill="F9F8F8"/>
          <w:lang w:val="en-US" w:eastAsia="zh-CN" w:bidi="ar"/>
        </w:rPr>
        <w:fldChar w:fldCharType="end"/>
      </w:r>
    </w:p>
    <w:p w14:paraId="1C7D028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A1B820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p>
    <w:p w14:paraId="33C5417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A114F3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righ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上海市哲学社会科学规划办公室</w:t>
      </w:r>
    </w:p>
    <w:p w14:paraId="5240DCA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D13AEE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righ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2025年8月2日</w:t>
      </w:r>
    </w:p>
    <w:p w14:paraId="040E1B6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7EFE1E0">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line="240" w:lineRule="atLeast"/>
        <w:ind w:right="0" w:rightChars="0"/>
        <w:jc w:val="both"/>
        <w:rPr>
          <w:rFonts w:hint="eastAsia" w:ascii="宋体" w:hAnsi="宋体" w:eastAsia="宋体" w:cs="宋体"/>
          <w:color w:val="636363"/>
          <w:sz w:val="14"/>
          <w:szCs w:val="14"/>
        </w:rPr>
      </w:pPr>
    </w:p>
    <w:p w14:paraId="0CA18390">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line="240" w:lineRule="atLeast"/>
        <w:ind w:right="0" w:rightChars="0"/>
        <w:jc w:val="both"/>
        <w:rPr>
          <w:rFonts w:hint="eastAsia" w:ascii="宋体" w:hAnsi="宋体" w:eastAsia="宋体" w:cs="宋体"/>
          <w:color w:val="636363"/>
          <w:sz w:val="14"/>
          <w:szCs w:val="14"/>
        </w:rPr>
      </w:pPr>
    </w:p>
    <w:p w14:paraId="30D26F07">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line="240" w:lineRule="atLeast"/>
        <w:ind w:right="0" w:rightChars="0"/>
        <w:jc w:val="both"/>
        <w:rPr>
          <w:rFonts w:hint="eastAsia" w:ascii="宋体" w:hAnsi="宋体" w:eastAsia="宋体" w:cs="宋体"/>
          <w:color w:val="636363"/>
          <w:sz w:val="14"/>
          <w:szCs w:val="14"/>
        </w:rPr>
      </w:pPr>
    </w:p>
    <w:p w14:paraId="2428DA80">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line="240" w:lineRule="atLeast"/>
        <w:ind w:right="0" w:rightChars="0"/>
        <w:jc w:val="both"/>
        <w:rPr>
          <w:rFonts w:hint="eastAsia" w:ascii="宋体" w:hAnsi="宋体" w:eastAsia="宋体" w:cs="宋体"/>
          <w:color w:val="636363"/>
          <w:sz w:val="14"/>
          <w:szCs w:val="14"/>
        </w:rPr>
      </w:pPr>
    </w:p>
    <w:p w14:paraId="76658708">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line="240" w:lineRule="atLeast"/>
        <w:ind w:right="0" w:rightChars="0"/>
        <w:jc w:val="both"/>
        <w:rPr>
          <w:rFonts w:hint="eastAsia" w:ascii="宋体" w:hAnsi="宋体" w:eastAsia="宋体" w:cs="宋体"/>
          <w:color w:val="636363"/>
          <w:sz w:val="14"/>
          <w:szCs w:val="14"/>
        </w:rPr>
      </w:pPr>
    </w:p>
    <w:p w14:paraId="75A1EBE1">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line="240" w:lineRule="atLeast"/>
        <w:ind w:right="0" w:rightChars="0"/>
        <w:jc w:val="both"/>
        <w:rPr>
          <w:rFonts w:hint="eastAsia" w:ascii="宋体" w:hAnsi="宋体" w:eastAsia="宋体" w:cs="宋体"/>
          <w:color w:val="636363"/>
          <w:sz w:val="14"/>
          <w:szCs w:val="14"/>
        </w:rPr>
      </w:pPr>
    </w:p>
    <w:p w14:paraId="291FFB7B">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line="240" w:lineRule="atLeast"/>
        <w:ind w:right="0" w:rightChars="0"/>
        <w:jc w:val="both"/>
        <w:rPr>
          <w:rFonts w:hint="eastAsia" w:ascii="宋体" w:hAnsi="宋体" w:eastAsia="宋体" w:cs="宋体"/>
          <w:color w:val="636363"/>
          <w:sz w:val="14"/>
          <w:szCs w:val="14"/>
        </w:rPr>
      </w:pPr>
    </w:p>
    <w:p w14:paraId="5B1A42B9">
      <w:pPr>
        <w:keepNext w:val="0"/>
        <w:keepLines w:val="0"/>
        <w:widowControl/>
        <w:numPr>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0" w:afterAutospacing="0" w:line="240" w:lineRule="atLeast"/>
        <w:ind w:right="0" w:rightChars="0"/>
        <w:jc w:val="both"/>
        <w:rPr>
          <w:rFonts w:hint="eastAsia" w:ascii="宋体" w:hAnsi="宋体" w:eastAsia="宋体" w:cs="宋体"/>
          <w:color w:val="636363"/>
          <w:sz w:val="14"/>
          <w:szCs w:val="14"/>
        </w:rPr>
      </w:pPr>
      <w:bookmarkStart w:id="0" w:name="_GoBack"/>
      <w:bookmarkEnd w:id="0"/>
    </w:p>
    <w:p w14:paraId="6939C21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8FE42C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0"/>
        <w:jc w:val="center"/>
        <w:rPr>
          <w:rFonts w:hint="eastAsia" w:ascii="宋体" w:hAnsi="宋体" w:eastAsia="宋体" w:cs="宋体"/>
          <w:color w:val="636363"/>
          <w:sz w:val="12"/>
          <w:szCs w:val="12"/>
        </w:rPr>
      </w:pPr>
      <w:r>
        <w:rPr>
          <w:rFonts w:ascii="方正小标宋简体" w:hAnsi="方正小标宋简体" w:eastAsia="方正小标宋简体" w:cs="方正小标宋简体"/>
          <w:i w:val="0"/>
          <w:iCs w:val="0"/>
          <w:caps w:val="0"/>
          <w:color w:val="636363"/>
          <w:spacing w:val="0"/>
          <w:kern w:val="0"/>
          <w:sz w:val="44"/>
          <w:szCs w:val="44"/>
          <w:shd w:val="clear" w:fill="F9F8F8"/>
          <w:lang w:val="en-US" w:eastAsia="zh-CN" w:bidi="ar"/>
        </w:rPr>
        <w:t>研</w:t>
      </w:r>
      <w:r>
        <w:rPr>
          <w:rFonts w:hint="default" w:ascii="方正小标宋简体" w:hAnsi="方正小标宋简体" w:eastAsia="方正小标宋简体" w:cs="方正小标宋简体"/>
          <w:i w:val="0"/>
          <w:iCs w:val="0"/>
          <w:caps w:val="0"/>
          <w:color w:val="636363"/>
          <w:spacing w:val="0"/>
          <w:kern w:val="0"/>
          <w:sz w:val="44"/>
          <w:szCs w:val="44"/>
          <w:shd w:val="clear" w:fill="F9F8F8"/>
          <w:lang w:val="en-US" w:eastAsia="zh-CN" w:bidi="ar"/>
        </w:rPr>
        <w:t> 究 选 题</w:t>
      </w:r>
    </w:p>
    <w:p w14:paraId="41DC4E8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4D97FD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7734FC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黑体" w:hAnsi="宋体" w:eastAsia="黑体" w:cs="黑体"/>
          <w:i w:val="0"/>
          <w:iCs w:val="0"/>
          <w:caps w:val="0"/>
          <w:color w:val="636363"/>
          <w:spacing w:val="0"/>
          <w:kern w:val="0"/>
          <w:sz w:val="32"/>
          <w:szCs w:val="32"/>
          <w:shd w:val="clear" w:fill="F9F8F8"/>
          <w:lang w:val="en-US" w:eastAsia="zh-CN" w:bidi="ar"/>
        </w:rPr>
        <w:t>一、党的创新理论体系化学理化研究</w:t>
      </w:r>
    </w:p>
    <w:p w14:paraId="7DECC15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35A2AEA">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1．习近平新时代中国特色社会主义思想体系化学理化研究阐释</w:t>
      </w:r>
    </w:p>
    <w:p w14:paraId="747BFEB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14E945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2．习近平新时代中国特色社会主义思想循迹溯源研究</w:t>
      </w:r>
    </w:p>
    <w:p w14:paraId="5799C45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8BF454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3．习近平文化思想对马克思主义文化理论的创新贡献研究</w:t>
      </w:r>
    </w:p>
    <w:p w14:paraId="390FE42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675367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4．习近平总书记关于党的自我革命重要思想研究</w:t>
      </w:r>
    </w:p>
    <w:p w14:paraId="35549A3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458FA7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5．习近平总书记关于加强党的作风建设重要论述研究</w:t>
      </w:r>
    </w:p>
    <w:p w14:paraId="79C28BF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2783E5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6．习近平总书记关于城市工作重要论述研究</w:t>
      </w:r>
    </w:p>
    <w:p w14:paraId="5189931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22F8E3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7．习近平总书记关于高水平开放重要论述研究</w:t>
      </w:r>
    </w:p>
    <w:p w14:paraId="6F87AD5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C415AD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8．习近平总书记关于金融工作重要论述研究</w:t>
      </w:r>
    </w:p>
    <w:p w14:paraId="2CB6E84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D2CA0A3">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9．习近平总书记关于科技创新重要论述研究</w:t>
      </w:r>
    </w:p>
    <w:p w14:paraId="14C0F3B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5B271E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10．习近平总书记关于精神文明建设重要论述研究</w:t>
      </w:r>
    </w:p>
    <w:p w14:paraId="798A614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932B74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11．习近平总书记关于社会治理重要论述研究</w:t>
      </w:r>
    </w:p>
    <w:p w14:paraId="4669A1A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4BE568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12．习近平总书记关于国家安全重要论述研究</w:t>
      </w:r>
    </w:p>
    <w:p w14:paraId="2A3D3EC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44ED62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13．习近平总书记重要论述分学科分领域分主题研究</w:t>
      </w:r>
    </w:p>
    <w:p w14:paraId="465E9F6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24C265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14．习近平总书记考察上海重要讲话精神研究</w:t>
      </w:r>
    </w:p>
    <w:p w14:paraId="32C3BD8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963D3C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15．“两个结合”的内在逻辑、方法途径和实践要求研究</w:t>
      </w:r>
    </w:p>
    <w:p w14:paraId="206D5CB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27E2B2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16．中国式现代化的时代背景、本质要求和世界意义研究</w:t>
      </w:r>
    </w:p>
    <w:p w14:paraId="6967980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66AA21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17．标识性重大概念、原创性思想观点、原理性理论成果学理化研究</w:t>
      </w:r>
    </w:p>
    <w:p w14:paraId="34DA738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F78AA0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18．马克思主义中国化时代化历史进程和基本规律研究</w:t>
      </w:r>
    </w:p>
    <w:p w14:paraId="177F9FE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1F9E02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19．马克思主义与中华优秀传统文化契合性研究</w:t>
      </w:r>
    </w:p>
    <w:p w14:paraId="26336CD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43D870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20．马克思主义发展史、传播史和国际共产主义运动史、社会主义发展史研究</w:t>
      </w:r>
    </w:p>
    <w:p w14:paraId="333153E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7678D6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21．海外习近平新时代中国特色社会主义思想研究追踪和引导</w:t>
      </w:r>
    </w:p>
    <w:p w14:paraId="1F89A3C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76A140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黑体" w:hAnsi="宋体" w:eastAsia="黑体" w:cs="黑体"/>
          <w:i w:val="0"/>
          <w:iCs w:val="0"/>
          <w:caps w:val="0"/>
          <w:color w:val="636363"/>
          <w:spacing w:val="0"/>
          <w:kern w:val="0"/>
          <w:sz w:val="32"/>
          <w:szCs w:val="32"/>
          <w:shd w:val="clear" w:fill="F9F8F8"/>
          <w:lang w:val="en-US" w:eastAsia="zh-CN" w:bidi="ar"/>
        </w:rPr>
        <w:t>二、中国哲学社会科学自主知识体系研究</w:t>
      </w:r>
    </w:p>
    <w:p w14:paraId="5825CD0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899DCF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22．中国特色哲学社会科学学科体系、学术体系、话语体系、教材体系建设研究</w:t>
      </w:r>
    </w:p>
    <w:p w14:paraId="59F7E15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55BA09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23．中国自主知识体系的实践基础、鲜明特征与构建路径研究</w:t>
      </w:r>
    </w:p>
    <w:p w14:paraId="15D1538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4F7708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24．中国自主知识体系各学科基础理论、概念范畴、方法论研究</w:t>
      </w:r>
    </w:p>
    <w:p w14:paraId="698DD29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587AA73">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25．国内外学科调查及学科发展史、学术思想史研究</w:t>
      </w:r>
    </w:p>
    <w:p w14:paraId="18D1B19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B27B98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26．战略性新兴学科、交叉学科自主知识体系研究</w:t>
      </w:r>
    </w:p>
    <w:p w14:paraId="4D22D95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6F9F2A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27．政治学、经济学、法学、社会学、新闻学、国际关系学等不同层级学科知识体系系统构建</w:t>
      </w:r>
    </w:p>
    <w:p w14:paraId="43B6227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0FB13F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28．中共党史党建、纪检监察学、国家安全学等学科自主知识体系研究</w:t>
      </w:r>
    </w:p>
    <w:p w14:paraId="3EFD493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3D13725">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29．人文经济学的理论内涵与实践探索研究</w:t>
      </w:r>
    </w:p>
    <w:p w14:paraId="7F08A18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D44B5A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30．当代知识生产范式转型与中国哲学社会科学自主知识体系构建</w:t>
      </w:r>
    </w:p>
    <w:p w14:paraId="49E289E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634023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31．学科交叉融合和先进技术赋能哲学社会科学自主知识体系构建研究</w:t>
      </w:r>
    </w:p>
    <w:p w14:paraId="50EB61C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2D49DD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32．中国近代知识体系生成发展与上海作用发挥研究</w:t>
      </w:r>
    </w:p>
    <w:p w14:paraId="0E4C03A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CD516C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黑体" w:hAnsi="宋体" w:eastAsia="黑体" w:cs="黑体"/>
          <w:i w:val="0"/>
          <w:iCs w:val="0"/>
          <w:caps w:val="0"/>
          <w:color w:val="636363"/>
          <w:spacing w:val="0"/>
          <w:kern w:val="0"/>
          <w:sz w:val="32"/>
          <w:szCs w:val="32"/>
          <w:shd w:val="clear" w:fill="F9F8F8"/>
          <w:lang w:val="en-US" w:eastAsia="zh-CN" w:bidi="ar"/>
        </w:rPr>
        <w:t>三、重大基础问题研究</w:t>
      </w:r>
    </w:p>
    <w:p w14:paraId="47FFD1E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EA5905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33．中华文明的起源与发展及其突出特性、哲学思想、价值理念等研究</w:t>
      </w:r>
    </w:p>
    <w:p w14:paraId="37EF57A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EFEC65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34．中华优秀传统文化、革命文化、社会主义先进文化所蕴含的思想观念、人文精神、道德规范研究</w:t>
      </w:r>
    </w:p>
    <w:p w14:paraId="0473D2E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7004CB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35．中华优秀传统文化创造性转化和创新性发展研究</w:t>
      </w:r>
    </w:p>
    <w:p w14:paraId="071791E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31D6BD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36．人类文明新形态与世界文明范式演变研究</w:t>
      </w:r>
    </w:p>
    <w:p w14:paraId="123C94B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560054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37．古代文明起源、古典学与现代世界研究</w:t>
      </w:r>
    </w:p>
    <w:p w14:paraId="19B0081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06209F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38．世界社会主义和左翼政党新发展研究</w:t>
      </w:r>
    </w:p>
    <w:p w14:paraId="1EFF573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AE2AA2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39．当代资本主义新变化与国外马克思主义思潮研究</w:t>
      </w:r>
    </w:p>
    <w:p w14:paraId="232240C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F3743C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40．以伟大自我革命引领伟大社会革命研究</w:t>
      </w:r>
    </w:p>
    <w:p w14:paraId="0EDF1F0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5BB2F8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41．常态长效深化落实中央八项规定精神研究</w:t>
      </w:r>
    </w:p>
    <w:p w14:paraId="4007EF2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1BEECA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42．人民代表大会制度的显著政治优势研究</w:t>
      </w:r>
    </w:p>
    <w:p w14:paraId="525D460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6C85CFA">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43．坚持党的领导、统一战线、协商民主有机结合研究</w:t>
      </w:r>
    </w:p>
    <w:p w14:paraId="5C8824D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C2E7F45">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44．中国新型政党制度文明意涵与体系构建研究</w:t>
      </w:r>
    </w:p>
    <w:p w14:paraId="2D2F9CC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E10F84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45．构建中华民族共同体理论体系研究</w:t>
      </w:r>
    </w:p>
    <w:p w14:paraId="5BC3B17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DE835E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46．中国特色城市现代化发展道路研究</w:t>
      </w:r>
    </w:p>
    <w:p w14:paraId="733801A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89D397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47．“四个放在”历史逻辑、理论逻辑和实践逻辑研究</w:t>
      </w:r>
    </w:p>
    <w:p w14:paraId="3387DD3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42C603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48．人工智能时代的人机关系伦理研究</w:t>
      </w:r>
    </w:p>
    <w:p w14:paraId="6662B3B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9F700C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49．具身智能的价值对齐与法治保障研究</w:t>
      </w:r>
    </w:p>
    <w:p w14:paraId="769DC9B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75BF917">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50．伟大抗战精神与上海研究</w:t>
      </w:r>
    </w:p>
    <w:p w14:paraId="2440DD5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02D270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51．新时代弘扬伟大长征精神研究</w:t>
      </w:r>
    </w:p>
    <w:p w14:paraId="0737569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532D7B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52．上海工业文明史研究</w:t>
      </w:r>
    </w:p>
    <w:p w14:paraId="1FBA2A4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8DBAE73">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53．文物保护理论和文化遗产保护传承研究</w:t>
      </w:r>
    </w:p>
    <w:p w14:paraId="16EF8D7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44E8193">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54．上海城市叙事研究</w:t>
      </w:r>
    </w:p>
    <w:p w14:paraId="6D70977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640EE5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55．红色文化、海派文化、江南文化融合发展研究</w:t>
      </w:r>
    </w:p>
    <w:p w14:paraId="1CC9161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D65D56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56．国内外重大社会思潮辨析引导和跟踪研究</w:t>
      </w:r>
    </w:p>
    <w:p w14:paraId="2D4EF56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048FB3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黑体" w:hAnsi="宋体" w:eastAsia="黑体" w:cs="黑体"/>
          <w:i w:val="0"/>
          <w:iCs w:val="0"/>
          <w:caps w:val="0"/>
          <w:color w:val="636363"/>
          <w:spacing w:val="0"/>
          <w:kern w:val="0"/>
          <w:sz w:val="32"/>
          <w:szCs w:val="32"/>
          <w:shd w:val="clear" w:fill="F9F8F8"/>
          <w:lang w:val="en-US" w:eastAsia="zh-CN" w:bidi="ar"/>
        </w:rPr>
        <w:t>四、重大现实问题研究</w:t>
      </w:r>
    </w:p>
    <w:p w14:paraId="33292BD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B43E55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57．外部环境变化及对上海经济高质量发展的影响及对策研究</w:t>
      </w:r>
    </w:p>
    <w:p w14:paraId="255CD74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B2AE74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58．进一步深化上海“五个中心”建设的重大战略举措研究</w:t>
      </w:r>
    </w:p>
    <w:p w14:paraId="67BB97E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216AFC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59．建设现代化人民城市深刻内涵、创新举措和现实路径研究</w:t>
      </w:r>
    </w:p>
    <w:p w14:paraId="353FC05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871226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60．超大城市高质量开展城市更新研究</w:t>
      </w:r>
    </w:p>
    <w:p w14:paraId="421E649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5322DF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61．全过程人民民主融入城市发展全过程实践研究</w:t>
      </w:r>
    </w:p>
    <w:p w14:paraId="52CB27A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A31C6E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62．上海推进首创性改革、引领性开放创新与突破研究</w:t>
      </w:r>
    </w:p>
    <w:p w14:paraId="046DEEC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BB778F2">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63．上海加快培育发展新质生产力提升国际经济中心地位研究</w:t>
      </w:r>
    </w:p>
    <w:p w14:paraId="248C4F2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272488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64．全球经济变局中上海推进金融开放合作研究</w:t>
      </w:r>
    </w:p>
    <w:p w14:paraId="0814C95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1A04AE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65．新形势下上海促进内外贸一体化发展研究</w:t>
      </w:r>
    </w:p>
    <w:p w14:paraId="7A91667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F44232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66．高水平建设自贸试验区等开放平台研究</w:t>
      </w:r>
    </w:p>
    <w:p w14:paraId="10EA345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6FE2A6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67．上海提升航运资源全球配置能力，促进航运业转型研究</w:t>
      </w:r>
    </w:p>
    <w:p w14:paraId="43C7B1A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CD89E8A">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68．国际贸易中心与国际航运中心联动发展研究</w:t>
      </w:r>
    </w:p>
    <w:p w14:paraId="293B089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65BC90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69．提升科技创新效率释放科技原始创新能力研究</w:t>
      </w:r>
    </w:p>
    <w:p w14:paraId="2D19911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F8C625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70．科技创新与产业创新深度融合发展研究</w:t>
      </w:r>
    </w:p>
    <w:p w14:paraId="6B817D4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CAA05B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71．关键技术领域突破与产业创新生态构建研究</w:t>
      </w:r>
    </w:p>
    <w:p w14:paraId="53E76E3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1719C6A">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72．上海培育龙头企业和高成长企业研究</w:t>
      </w:r>
    </w:p>
    <w:p w14:paraId="5C27896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667610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73．加快数字化智能化绿色化转型，促进产业转型升级研究</w:t>
      </w:r>
    </w:p>
    <w:p w14:paraId="56A66F6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CB9347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74．上海绿色金融发展实践与政策创新研究</w:t>
      </w:r>
    </w:p>
    <w:p w14:paraId="481DEF4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3275A27">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75．上海提升全球大宗商品交易功能研究</w:t>
      </w:r>
    </w:p>
    <w:p w14:paraId="0327E52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FE8E80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76．上海加快建设世界级产业集群研究</w:t>
      </w:r>
    </w:p>
    <w:p w14:paraId="20593A0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5B9D6C3">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77．上海专业服务业高质量发展路径研究</w:t>
      </w:r>
    </w:p>
    <w:p w14:paraId="6F6717F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8B499F7">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78．上海打造特色生产性工业服务业集群研究</w:t>
      </w:r>
    </w:p>
    <w:p w14:paraId="2989606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5EC01F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79．现代化产业体系所需生产要素高水平配置研究</w:t>
      </w:r>
    </w:p>
    <w:p w14:paraId="654EA5B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95BF1D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80．推动创新成果向产业生产力转化机制研究</w:t>
      </w:r>
    </w:p>
    <w:p w14:paraId="1948DCB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7B0797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81．加快打造一体化人工智能战略科技力量研究</w:t>
      </w:r>
    </w:p>
    <w:p w14:paraId="0FC03D6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E1D218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82．上海未来产业创新生态系统培育与路径研究</w:t>
      </w:r>
    </w:p>
    <w:p w14:paraId="2ABFAB6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8E513E5">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83．上海提升全球供应链管理功能，维护产业链供应链安全研究</w:t>
      </w:r>
    </w:p>
    <w:p w14:paraId="63C883D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445848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84．上海持续营造市场化、法治化、国际化一流营商环境研究</w:t>
      </w:r>
    </w:p>
    <w:p w14:paraId="39AFBC8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ACCE1A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85．全球主权债务治理中的制度性嵌入与规则塑造研究</w:t>
      </w:r>
    </w:p>
    <w:p w14:paraId="25621AB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C147EA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86．建立高效便利安全的数据跨境流动机制研究</w:t>
      </w:r>
    </w:p>
    <w:p w14:paraId="5CFA771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3EB7C1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87．涉外法治体系建设研究</w:t>
      </w:r>
    </w:p>
    <w:p w14:paraId="3C985BF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906A4A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88．深化文化体制机制改革，加快建设习近平文化思想最佳实践地研究</w:t>
      </w:r>
    </w:p>
    <w:p w14:paraId="4E96B02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21A5B2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89．完善收入分配机制与发展新质生产力研究</w:t>
      </w:r>
    </w:p>
    <w:p w14:paraId="635120F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2A1819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90．上海培育服务消费新的增长点研究</w:t>
      </w:r>
    </w:p>
    <w:p w14:paraId="18EAAD2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7BA8DD7">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91．高品质生活引领上海构建消费型社会研究</w:t>
      </w:r>
    </w:p>
    <w:p w14:paraId="3B70678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44C33D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92．完善人力资源密集的生活性服务业行业发展政策体系研究</w:t>
      </w:r>
    </w:p>
    <w:p w14:paraId="69D3BFF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584A7E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93．建立新就业群体全职业周期支持机制研究</w:t>
      </w:r>
    </w:p>
    <w:p w14:paraId="4BA4991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0BFB1D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94．科技创业人才梯度培养和支持体系研究</w:t>
      </w:r>
    </w:p>
    <w:p w14:paraId="1497995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3E42A27">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95．浦东新区打造社会主义现代化建设引领区研究</w:t>
      </w:r>
    </w:p>
    <w:p w14:paraId="76832C4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848B4F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96．临港新片区深化离岸和跨境金融功能研究</w:t>
      </w:r>
    </w:p>
    <w:p w14:paraId="5A4F598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70C6AE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97．虹桥国际中央商务区国际贸易中心新平台能级提升研究</w:t>
      </w:r>
    </w:p>
    <w:p w14:paraId="78F1C23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672935A">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98．长三角打造全球人才高地和原始创新高地研究</w:t>
      </w:r>
    </w:p>
    <w:p w14:paraId="6CB14F3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9F9594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99．上海深化市区协同推动产业特色化差异化发展研究</w:t>
      </w:r>
    </w:p>
    <w:p w14:paraId="3F61D97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D509AE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100．国有资本投资容错机制完善研究</w:t>
      </w:r>
    </w:p>
    <w:p w14:paraId="79C2C30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B28110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101．国有企业国际化经营能力提升研究</w:t>
      </w:r>
    </w:p>
    <w:p w14:paraId="3B66ED0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F468D07">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102．加快完善中国特色现代企业制度研究</w:t>
      </w:r>
    </w:p>
    <w:p w14:paraId="21C5483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F5CE2F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103．上海产业园区提升规模化集约化水平研究</w:t>
      </w:r>
    </w:p>
    <w:p w14:paraId="67E9420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CB8774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104．上海高端装备制造业高质量发展路径研究</w:t>
      </w:r>
    </w:p>
    <w:p w14:paraId="32F4EE3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5BE609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105．养老金融与银发经济协同发展创新研究</w:t>
      </w:r>
    </w:p>
    <w:p w14:paraId="4218E1D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DBFAA97">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106．超大城市构建生育友好型社会研究</w:t>
      </w:r>
    </w:p>
    <w:p w14:paraId="5472C59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10D3FF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107．上海推进生态产品价值实现的路径与可持续机制研究</w:t>
      </w:r>
    </w:p>
    <w:p w14:paraId="3FEC35E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A367E9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108．新兴领域党建全覆盖研究</w:t>
      </w:r>
    </w:p>
    <w:p w14:paraId="5167664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F05903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109．新时代廉洁文化建设研究</w:t>
      </w:r>
    </w:p>
    <w:p w14:paraId="3A63BCA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90BFD3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110．宗教治理法治化体系完善与实施效能研究</w:t>
      </w:r>
    </w:p>
    <w:p w14:paraId="2FED638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D56824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111．新时代海外华人华侨群体研究</w:t>
      </w:r>
    </w:p>
    <w:p w14:paraId="0CB937D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E2048E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112．主流媒体系统性变革提升舆论主导权研究</w:t>
      </w:r>
    </w:p>
    <w:p w14:paraId="7806181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EC08A0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113．红色文化融入大中小学思政教育一体化建设研究</w:t>
      </w:r>
    </w:p>
    <w:p w14:paraId="58A340E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2D655F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114．精神文明建设的时代特征和发展规律研究</w:t>
      </w:r>
    </w:p>
    <w:p w14:paraId="508B196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74BF65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115．网络空间弘扬主流意识形态研究</w:t>
      </w:r>
    </w:p>
    <w:p w14:paraId="674FF8B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9CF4EF5">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116．加快构建中国话语和中国叙事体系研究</w:t>
      </w:r>
    </w:p>
    <w:p w14:paraId="66B1183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01C4365">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117．城市更新中建筑文化价值和保护传承研究</w:t>
      </w:r>
    </w:p>
    <w:p w14:paraId="626124D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1C3F19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118．深化国家实验室、重点实验室和高校院所评价体系和资源配置机制改革研究</w:t>
      </w:r>
    </w:p>
    <w:p w14:paraId="66492D4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875E43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119．超大城市医疗保障制度体系建设研究</w:t>
      </w:r>
    </w:p>
    <w:p w14:paraId="0A92AFA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636EB1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120．公立医院公益性与多元服务模式研究</w:t>
      </w:r>
    </w:p>
    <w:p w14:paraId="63134A6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9C4B09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121．现代警务创新与平安上海建设研究</w:t>
      </w:r>
    </w:p>
    <w:p w14:paraId="04661E7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0112FF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122．深化城市产业工人队伍建设研究</w:t>
      </w:r>
    </w:p>
    <w:p w14:paraId="1326BF9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922B0B8">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123．当代青年社会心态与发展调查研究</w:t>
      </w:r>
    </w:p>
    <w:p w14:paraId="7B87CA1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DBEA74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124．超大城市农村社区嵌入式养老模式创新研究</w:t>
      </w:r>
    </w:p>
    <w:p w14:paraId="5FB3F18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ACB52B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125．老龄化背景下上海家庭代际支持激励机制的现状与对策研究</w:t>
      </w:r>
    </w:p>
    <w:p w14:paraId="588F61E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1D90814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黑体" w:hAnsi="宋体" w:eastAsia="黑体" w:cs="黑体"/>
          <w:i w:val="0"/>
          <w:iCs w:val="0"/>
          <w:caps w:val="0"/>
          <w:color w:val="636363"/>
          <w:spacing w:val="0"/>
          <w:kern w:val="0"/>
          <w:sz w:val="32"/>
          <w:szCs w:val="32"/>
          <w:shd w:val="clear" w:fill="F9F8F8"/>
          <w:lang w:val="en-US" w:eastAsia="zh-CN" w:bidi="ar"/>
        </w:rPr>
        <w:t>五、区域国别研究</w:t>
      </w:r>
    </w:p>
    <w:p w14:paraId="7674A9B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633658A">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126．区域国别学基础理论与方法研究</w:t>
      </w:r>
    </w:p>
    <w:p w14:paraId="0FB677D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2D6B29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127．重要全球性战略议题中长期研究</w:t>
      </w:r>
    </w:p>
    <w:p w14:paraId="1AC309D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D31E05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128．世界变局下全球主要区域秩序演变及趋势研究</w:t>
      </w:r>
    </w:p>
    <w:p w14:paraId="3ABBBB1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29915C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129．重要区域国别政制、法制、税制等比较研究</w:t>
      </w:r>
    </w:p>
    <w:p w14:paraId="7D183F5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986C4D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130．重要国际组织功能演进与政策协调研究</w:t>
      </w:r>
    </w:p>
    <w:p w14:paraId="1DA3D6B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49B8DF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131．中国企业出海与驻在国社会政治文化状况等研究</w:t>
      </w:r>
    </w:p>
    <w:p w14:paraId="7F1CDD5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B7A26E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132．企业出海重点区域国别法律风险防范研究</w:t>
      </w:r>
    </w:p>
    <w:p w14:paraId="6F32D7D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0D2FAFD">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133．上海代表中国参与国际重要领域治理规则协调与升级研究</w:t>
      </w:r>
    </w:p>
    <w:p w14:paraId="59D9A8B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6C3A0E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134．“一带一路”沿线多面情况与发挥上海桥头堡作用研究</w:t>
      </w:r>
    </w:p>
    <w:p w14:paraId="3D29B3A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B81890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135．“一带一路”海外法律服务网络协同机制研究</w:t>
      </w:r>
    </w:p>
    <w:p w14:paraId="1A48E0B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3C0E396">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136．“一带一路”沿线史地信息系统研究与构建</w:t>
      </w:r>
    </w:p>
    <w:p w14:paraId="33145E3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CAB2B6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137．中国与全球南方国家经贸关系演进及上海作用发挥研究</w:t>
      </w:r>
    </w:p>
    <w:p w14:paraId="12BC10C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BA74A8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138．东南亚各国所藏南海历史地图的整理与研究</w:t>
      </w:r>
    </w:p>
    <w:p w14:paraId="7DFDEF8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660C429">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139．周边格局和世界变局深度联动与上海发挥链接功能研究</w:t>
      </w:r>
    </w:p>
    <w:p w14:paraId="4D8C87B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D615F5A">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140．上海重点产业海外供应链安全研究</w:t>
      </w:r>
    </w:p>
    <w:p w14:paraId="6285CCA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1D9183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141．相关国家对华认知演变与全面提升上海国际传播效能研究</w:t>
      </w:r>
    </w:p>
    <w:p w14:paraId="3FEC3D2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6FE193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142．上海加快建成具有世界影响力的社会主义现代化国际大都市，促进文明交流互鉴推动互利合作研究</w:t>
      </w:r>
    </w:p>
    <w:p w14:paraId="2767B98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708CAC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40"/>
        <w:jc w:val="left"/>
        <w:rPr>
          <w:rFonts w:hint="eastAsia" w:ascii="宋体" w:hAnsi="宋体" w:eastAsia="宋体" w:cs="宋体"/>
          <w:color w:val="636363"/>
          <w:sz w:val="12"/>
          <w:szCs w:val="12"/>
        </w:rPr>
      </w:pPr>
      <w:r>
        <w:rPr>
          <w:rFonts w:hint="eastAsia" w:ascii="黑体" w:hAnsi="宋体" w:eastAsia="黑体" w:cs="黑体"/>
          <w:i w:val="0"/>
          <w:iCs w:val="0"/>
          <w:caps w:val="0"/>
          <w:color w:val="636363"/>
          <w:spacing w:val="0"/>
          <w:kern w:val="0"/>
          <w:sz w:val="32"/>
          <w:szCs w:val="32"/>
          <w:shd w:val="clear" w:fill="F9F8F8"/>
          <w:lang w:val="en-US" w:eastAsia="zh-CN" w:bidi="ar"/>
        </w:rPr>
        <w:t>六、交叉研究</w:t>
      </w:r>
    </w:p>
    <w:p w14:paraId="4739733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E6BB3C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143．科技革命和产业变革对人类社会的影响塑造及前瞻应对研究</w:t>
      </w:r>
    </w:p>
    <w:p w14:paraId="17A2056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9ABFDE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144．畅通科技-产业-金融高水平循环研究</w:t>
      </w:r>
    </w:p>
    <w:p w14:paraId="176CE34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CAEAF0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145．“投资于人”在协同推进经济发展和民生改善中的作用研究</w:t>
      </w:r>
    </w:p>
    <w:p w14:paraId="05E4CF64">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3846E4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146．经济与人文相互促进、协同创新路径研究</w:t>
      </w:r>
    </w:p>
    <w:p w14:paraId="06C8807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E1A416C">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147．企业“走出去”综合服务功能提升研究</w:t>
      </w:r>
    </w:p>
    <w:p w14:paraId="43980F8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08A31E1">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148．文化和科技融合的有效机制研究</w:t>
      </w:r>
    </w:p>
    <w:p w14:paraId="604FB81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AFDB2A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149．人机共生系统演化机理与治理路径研究</w:t>
      </w:r>
    </w:p>
    <w:p w14:paraId="16A8F9B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62581BA">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150．智能体的应用与风险研究</w:t>
      </w:r>
    </w:p>
    <w:p w14:paraId="0E5065D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34D813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151．非物质文化遗产数字化活态传承机制研究</w:t>
      </w:r>
    </w:p>
    <w:p w14:paraId="0ADACBA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7CA932B">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152．具身智能视角下的机器人交互理论与设计研究</w:t>
      </w:r>
    </w:p>
    <w:p w14:paraId="0058080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2944E4E">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153．统筹发展和安全一体化战略体系和能力建设研究</w:t>
      </w:r>
    </w:p>
    <w:p w14:paraId="33D051AC">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241EACA">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154．深化财政科技教育投入机制改革研究</w:t>
      </w:r>
    </w:p>
    <w:p w14:paraId="6893EC09">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3815FF55">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155．科技教育与人文教育协同机制研究</w:t>
      </w:r>
    </w:p>
    <w:p w14:paraId="3756545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53B78E5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156．构建中国特色哲学社会科学评价体系研究</w:t>
      </w:r>
    </w:p>
    <w:p w14:paraId="3D03541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660233A4">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157．新一代人工智能技术赋能哲学社会科学发展研究</w:t>
      </w:r>
    </w:p>
    <w:p w14:paraId="0C97E4E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BB25077">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158．全球人工智能治理框架比较研究</w:t>
      </w:r>
    </w:p>
    <w:p w14:paraId="38D4B4C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4BADEB85">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159．上海文旅商体展深度融合发展与模式创新研究</w:t>
      </w:r>
    </w:p>
    <w:p w14:paraId="08FC5BEA">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370A07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160．生成式人工智能发展和管理机制研究</w:t>
      </w:r>
    </w:p>
    <w:p w14:paraId="2FF7F1CB">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735F4620">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161．新时代城市发展评价体系研究</w:t>
      </w:r>
    </w:p>
    <w:p w14:paraId="5C967B0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0BE24C5F">
      <w:pPr>
        <w:keepNext w:val="0"/>
        <w:keepLines w:val="0"/>
        <w:widowControl/>
        <w:suppressLineNumbers w:val="0"/>
        <w:pBdr>
          <w:top w:val="none" w:color="auto" w:sz="0" w:space="0"/>
          <w:left w:val="none" w:color="auto" w:sz="0" w:space="0"/>
          <w:bottom w:val="none" w:color="auto" w:sz="0" w:space="0"/>
          <w:right w:val="none" w:color="auto" w:sz="0" w:space="0"/>
        </w:pBdr>
        <w:spacing w:before="157" w:beforeAutospacing="0" w:after="157" w:afterAutospacing="0" w:line="180" w:lineRule="atLeast"/>
        <w:ind w:left="0" w:right="0" w:firstLine="680"/>
        <w:jc w:val="left"/>
        <w:rPr>
          <w:rFonts w:hint="eastAsia" w:ascii="宋体" w:hAnsi="宋体" w:eastAsia="宋体" w:cs="宋体"/>
          <w:color w:val="636363"/>
          <w:sz w:val="12"/>
          <w:szCs w:val="12"/>
        </w:rPr>
      </w:pPr>
      <w:r>
        <w:rPr>
          <w:rFonts w:hint="eastAsia" w:ascii="仿宋_GB2312" w:hAnsi="宋体" w:eastAsia="仿宋_GB2312" w:cs="仿宋_GB2312"/>
          <w:i w:val="0"/>
          <w:iCs w:val="0"/>
          <w:caps w:val="0"/>
          <w:color w:val="636363"/>
          <w:spacing w:val="0"/>
          <w:kern w:val="0"/>
          <w:sz w:val="32"/>
          <w:szCs w:val="32"/>
          <w:shd w:val="clear" w:fill="F9F8F8"/>
          <w:lang w:val="en-US" w:eastAsia="zh-CN" w:bidi="ar"/>
        </w:rPr>
        <w:t>162．加强政策协同提升预期管理研究</w:t>
      </w:r>
    </w:p>
    <w:p w14:paraId="4E7D88E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130" w:right="0" w:hanging="360"/>
        <w:rPr>
          <w:rFonts w:hint="eastAsia" w:ascii="宋体" w:hAnsi="宋体" w:eastAsia="宋体" w:cs="宋体"/>
          <w:color w:val="636363"/>
          <w:sz w:val="14"/>
          <w:szCs w:val="14"/>
        </w:rPr>
      </w:pPr>
    </w:p>
    <w:p w14:paraId="24B1D7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altName w:val="方正舒体"/>
    <w:panose1 w:val="00000000000000000000"/>
    <w:charset w:val="00"/>
    <w:family w:val="auto"/>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76A126"/>
    <w:multiLevelType w:val="multilevel"/>
    <w:tmpl w:val="6A76A12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61BE9"/>
    <w:rsid w:val="03C02833"/>
    <w:rsid w:val="130A6B5B"/>
    <w:rsid w:val="216D3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5247</Words>
  <Characters>5434</Characters>
  <Lines>0</Lines>
  <Paragraphs>0</Paragraphs>
  <TotalTime>0</TotalTime>
  <ScaleCrop>false</ScaleCrop>
  <LinksUpToDate>false</LinksUpToDate>
  <CharactersWithSpaces>5468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2025-08-02T06:33:00Z</dcterms:created>
  <dc:creator>diaoy</dc:creator>
  <cp:lastModifiedBy>结结</cp:lastModifiedBy>
  <dcterms:modified xsi:type="dcterms:W3CDTF">2025-08-02T07:53:48Z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eyJoZGlkIjoiNDM2NzNhZDk3NmU5MzdkNTAyNzQ4YTY2NTFmNTQ5YjgiLCJ1c2VySWQiOiI1NzgwNTU2NzkifQ==</vt:lpwstr>
  </property>
  <property fmtid="{D5CDD505-2E9C-101B-9397-08002B2CF9AE}" pid="4" name="ICV">
    <vt:lpwstr>179CA5DB03C94244AAB326BD29A939B5_12</vt:lpwstr>
  </property>
</Properties>
</file>