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88" w:lineRule="auto"/>
        <w:jc w:val="center"/>
        <w:rPr>
          <w:rFonts w:ascii="Times New Roman" w:hAnsi="Times New Roman" w:eastAsia="楷体_GB2312"/>
        </w:rPr>
      </w:pPr>
      <w:r>
        <w:rPr>
          <w:rFonts w:ascii="Times New Roman" w:hAnsi="Times New Roman" w:eastAsia="楷体_GB2312"/>
        </w:rPr>
        <w:t>20</w:t>
      </w:r>
      <w:r>
        <w:rPr>
          <w:rFonts w:hint="eastAsia" w:ascii="Times New Roman" w:hAnsi="Times New Roman" w:eastAsia="楷体_GB2312"/>
        </w:rPr>
        <w:t>20</w:t>
      </w:r>
      <w:r>
        <w:rPr>
          <w:rFonts w:ascii="Times New Roman" w:hAnsi="Times New Roman" w:eastAsia="楷体_GB2312"/>
        </w:rPr>
        <w:t>~20</w:t>
      </w:r>
      <w:r>
        <w:rPr>
          <w:rFonts w:hint="eastAsia" w:ascii="Times New Roman" w:hAnsi="Times New Roman" w:eastAsia="楷体_GB2312"/>
        </w:rPr>
        <w:t>21</w:t>
      </w:r>
      <w:r>
        <w:rPr>
          <w:rFonts w:ascii="Times New Roman" w:hAnsi="Times New Roman" w:eastAsia="楷体_GB2312"/>
        </w:rPr>
        <w:t>学年第</w:t>
      </w:r>
      <w:r>
        <w:rPr>
          <w:rFonts w:hint="eastAsia" w:ascii="Times New Roman" w:hAnsi="Times New Roman" w:eastAsia="楷体_GB2312"/>
        </w:rPr>
        <w:t>二</w:t>
      </w:r>
      <w:r>
        <w:rPr>
          <w:rFonts w:ascii="Times New Roman" w:hAnsi="Times New Roman" w:eastAsia="楷体_GB2312"/>
        </w:rPr>
        <w:t>学期</w:t>
      </w:r>
      <w:r>
        <w:rPr>
          <w:rFonts w:hint="eastAsia" w:ascii="Times New Roman" w:hAnsi="Times New Roman" w:eastAsia="楷体_GB2312"/>
        </w:rPr>
        <w:t>评教工作概况</w:t>
      </w:r>
    </w:p>
    <w:p>
      <w:pPr>
        <w:spacing w:line="288" w:lineRule="auto"/>
        <w:ind w:firstLine="482"/>
        <w:rPr>
          <w:rFonts w:eastAsia="仿宋_GB2312"/>
          <w:sz w:val="24"/>
        </w:rPr>
      </w:pPr>
      <w:r>
        <w:rPr>
          <w:rFonts w:eastAsia="仿宋_GB2312"/>
          <w:sz w:val="24"/>
        </w:rPr>
        <w:t>根据学院《上海电子信息职业技术学院教学质量评价实施办法》文件精神，本学期任课教师教学质量评价以学院《教学质量标准》为评价依据，从学生、同行、领导三个维度对所有任课教师教学质量与教学目标实现程度进行了综合评价。</w:t>
      </w:r>
    </w:p>
    <w:p>
      <w:pPr>
        <w:spacing w:line="288" w:lineRule="auto"/>
        <w:ind w:firstLine="482"/>
        <w:rPr>
          <w:rFonts w:hint="eastAsia" w:eastAsia="仿宋_GB2312"/>
          <w:sz w:val="24"/>
        </w:rPr>
      </w:pPr>
      <w:r>
        <w:rPr>
          <w:rFonts w:hint="eastAsia" w:eastAsia="仿宋_GB2312"/>
          <w:sz w:val="24"/>
        </w:rPr>
        <w:t>一、学生评教</w:t>
      </w:r>
    </w:p>
    <w:p>
      <w:pPr>
        <w:spacing w:line="288" w:lineRule="auto"/>
        <w:ind w:firstLine="482"/>
        <w:rPr>
          <w:rFonts w:hint="eastAsia" w:eastAsia="仿宋_GB2312"/>
          <w:sz w:val="24"/>
        </w:rPr>
      </w:pPr>
      <w:r>
        <w:rPr>
          <w:rFonts w:eastAsia="仿宋_GB2312"/>
          <w:sz w:val="24"/>
        </w:rPr>
        <w:t>教务处于20</w:t>
      </w:r>
      <w:r>
        <w:rPr>
          <w:rFonts w:hint="eastAsia" w:eastAsia="仿宋_GB2312"/>
          <w:sz w:val="24"/>
        </w:rPr>
        <w:t>21</w:t>
      </w:r>
      <w:r>
        <w:rPr>
          <w:rFonts w:eastAsia="仿宋_GB2312"/>
          <w:sz w:val="24"/>
        </w:rPr>
        <w:t>年</w:t>
      </w:r>
      <w:r>
        <w:rPr>
          <w:rFonts w:hint="eastAsia" w:eastAsia="仿宋_GB2312"/>
          <w:sz w:val="24"/>
        </w:rPr>
        <w:t>第八周</w:t>
      </w:r>
      <w:r>
        <w:rPr>
          <w:rFonts w:eastAsia="仿宋_GB2312"/>
          <w:sz w:val="24"/>
        </w:rPr>
        <w:t>起组织201</w:t>
      </w:r>
      <w:r>
        <w:rPr>
          <w:rFonts w:hint="eastAsia" w:eastAsia="仿宋_GB2312"/>
          <w:sz w:val="24"/>
        </w:rPr>
        <w:t>9</w:t>
      </w:r>
      <w:r>
        <w:rPr>
          <w:rFonts w:eastAsia="仿宋_GB2312"/>
          <w:sz w:val="24"/>
        </w:rPr>
        <w:t>级</w:t>
      </w:r>
      <w:r>
        <w:rPr>
          <w:rFonts w:hint="eastAsia" w:eastAsia="仿宋_GB2312"/>
          <w:sz w:val="24"/>
        </w:rPr>
        <w:t>、2020级</w:t>
      </w:r>
      <w:r>
        <w:rPr>
          <w:rFonts w:eastAsia="仿宋_GB2312"/>
          <w:sz w:val="24"/>
        </w:rPr>
        <w:t>学生</w:t>
      </w:r>
      <w:r>
        <w:rPr>
          <w:rFonts w:hint="eastAsia" w:eastAsia="仿宋_GB2312"/>
          <w:sz w:val="24"/>
        </w:rPr>
        <w:t>对2020-2021学年第二学期教师授课情况进行</w:t>
      </w:r>
      <w:r>
        <w:rPr>
          <w:rFonts w:eastAsia="仿宋_GB2312"/>
          <w:sz w:val="24"/>
        </w:rPr>
        <w:t>评教工作，在各二级学院的积极配合下，本学期</w:t>
      </w:r>
      <w:r>
        <w:rPr>
          <w:rFonts w:hint="eastAsia" w:eastAsia="仿宋_GB2312"/>
          <w:sz w:val="24"/>
        </w:rPr>
        <w:t>组织</w:t>
      </w:r>
      <w:r>
        <w:rPr>
          <w:rFonts w:eastAsia="仿宋_GB2312"/>
          <w:sz w:val="24"/>
        </w:rPr>
        <w:t>学生</w:t>
      </w:r>
      <w:r>
        <w:rPr>
          <w:rFonts w:hint="eastAsia" w:eastAsia="仿宋_GB2312"/>
          <w:sz w:val="24"/>
        </w:rPr>
        <w:t>开展了期中和期末两次</w:t>
      </w:r>
      <w:r>
        <w:rPr>
          <w:rFonts w:eastAsia="仿宋_GB2312"/>
          <w:sz w:val="24"/>
        </w:rPr>
        <w:t>网上评教。</w:t>
      </w:r>
    </w:p>
    <w:p>
      <w:pPr>
        <w:spacing w:line="288" w:lineRule="auto"/>
        <w:ind w:firstLine="482"/>
        <w:rPr>
          <w:rFonts w:hint="eastAsia" w:eastAsia="仿宋_GB2312"/>
          <w:sz w:val="24"/>
        </w:rPr>
      </w:pPr>
      <w:r>
        <w:rPr>
          <w:rFonts w:eastAsia="仿宋_GB2312"/>
          <w:sz w:val="24"/>
        </w:rPr>
        <w:t>本学期学生评教的</w:t>
      </w:r>
      <w:r>
        <w:rPr>
          <w:rFonts w:hint="eastAsia" w:eastAsia="仿宋_GB2312"/>
          <w:sz w:val="24"/>
        </w:rPr>
        <w:t>校</w:t>
      </w:r>
      <w:r>
        <w:rPr>
          <w:rFonts w:eastAsia="仿宋_GB2312"/>
          <w:sz w:val="24"/>
        </w:rPr>
        <w:t>平均分为</w:t>
      </w:r>
      <w:r>
        <w:rPr>
          <w:rFonts w:hint="eastAsia" w:eastAsia="仿宋_GB2312"/>
          <w:sz w:val="24"/>
        </w:rPr>
        <w:t>90.28，最高分95.08，最低分79.53；其中，期中学生评教（第一次）涉及课程629门，被评教师535人，学生参评率95.17%。期末学生评教（第二次）涉及课程619门，被评教师537人，学生参评率93.71%。</w:t>
      </w:r>
    </w:p>
    <w:p>
      <w:pPr>
        <w:spacing w:line="288" w:lineRule="auto"/>
        <w:ind w:firstLine="482"/>
        <w:rPr>
          <w:rFonts w:eastAsia="仿宋_GB2312"/>
          <w:sz w:val="24"/>
        </w:rPr>
      </w:pPr>
      <w:r>
        <w:rPr>
          <w:rFonts w:hint="eastAsia" w:eastAsia="仿宋_GB2312"/>
          <w:sz w:val="24"/>
        </w:rPr>
        <w:t>二、教师评教</w:t>
      </w:r>
    </w:p>
    <w:p>
      <w:pPr>
        <w:spacing w:line="288" w:lineRule="auto"/>
        <w:ind w:firstLine="482"/>
        <w:rPr>
          <w:rFonts w:eastAsia="仿宋_GB2312"/>
          <w:color w:val="FF0000"/>
          <w:sz w:val="24"/>
        </w:rPr>
      </w:pPr>
      <w:r>
        <w:rPr>
          <w:rFonts w:eastAsia="仿宋_GB2312"/>
          <w:sz w:val="24"/>
        </w:rPr>
        <w:t>20</w:t>
      </w:r>
      <w:r>
        <w:rPr>
          <w:rFonts w:hint="eastAsia" w:eastAsia="仿宋_GB2312"/>
          <w:sz w:val="24"/>
        </w:rPr>
        <w:t>21</w:t>
      </w:r>
      <w:r>
        <w:rPr>
          <w:rFonts w:eastAsia="仿宋_GB2312"/>
          <w:sz w:val="24"/>
        </w:rPr>
        <w:t>年</w:t>
      </w:r>
      <w:r>
        <w:rPr>
          <w:rFonts w:hint="eastAsia" w:eastAsia="仿宋_GB2312"/>
          <w:sz w:val="24"/>
        </w:rPr>
        <w:t>6</w:t>
      </w:r>
      <w:r>
        <w:rPr>
          <w:rFonts w:eastAsia="仿宋_GB2312"/>
          <w:sz w:val="24"/>
        </w:rPr>
        <w:t>月开展了本学期教师网上评教工作，教务处汇总了评教结果，生成了所有被评教师的学期平均分。本学期</w:t>
      </w:r>
      <w:r>
        <w:rPr>
          <w:rFonts w:hint="eastAsia" w:eastAsia="仿宋_GB2312"/>
          <w:sz w:val="24"/>
        </w:rPr>
        <w:t>全校</w:t>
      </w:r>
      <w:r>
        <w:rPr>
          <w:rFonts w:eastAsia="仿宋_GB2312"/>
          <w:sz w:val="24"/>
        </w:rPr>
        <w:t>被评教师共</w:t>
      </w:r>
      <w:r>
        <w:rPr>
          <w:rFonts w:hint="eastAsia" w:eastAsia="仿宋_GB2312"/>
          <w:sz w:val="24"/>
        </w:rPr>
        <w:t>500</w:t>
      </w:r>
      <w:r>
        <w:rPr>
          <w:rFonts w:eastAsia="仿宋_GB2312"/>
          <w:sz w:val="24"/>
        </w:rPr>
        <w:t>人，其中专任教师</w:t>
      </w:r>
      <w:r>
        <w:rPr>
          <w:rFonts w:hint="eastAsia" w:eastAsia="仿宋_GB2312"/>
          <w:sz w:val="24"/>
        </w:rPr>
        <w:t>306</w:t>
      </w:r>
      <w:r>
        <w:rPr>
          <w:rFonts w:eastAsia="仿宋_GB2312"/>
          <w:sz w:val="24"/>
        </w:rPr>
        <w:t>人，校内兼课</w:t>
      </w:r>
      <w:r>
        <w:rPr>
          <w:rFonts w:hint="eastAsia" w:eastAsia="仿宋_GB2312"/>
          <w:sz w:val="24"/>
        </w:rPr>
        <w:t>72</w:t>
      </w:r>
      <w:r>
        <w:rPr>
          <w:rFonts w:eastAsia="仿宋_GB2312"/>
          <w:sz w:val="24"/>
        </w:rPr>
        <w:t>人，外聘</w:t>
      </w:r>
      <w:r>
        <w:rPr>
          <w:rFonts w:hint="eastAsia" w:eastAsia="仿宋_GB2312"/>
          <w:sz w:val="24"/>
        </w:rPr>
        <w:t>122</w:t>
      </w:r>
      <w:r>
        <w:rPr>
          <w:rFonts w:eastAsia="仿宋_GB2312"/>
          <w:sz w:val="24"/>
        </w:rPr>
        <w:t>人。三维度评教的</w:t>
      </w:r>
      <w:r>
        <w:rPr>
          <w:rFonts w:hint="eastAsia" w:eastAsia="仿宋_GB2312"/>
          <w:sz w:val="24"/>
        </w:rPr>
        <w:t>校</w:t>
      </w:r>
      <w:r>
        <w:rPr>
          <w:rFonts w:eastAsia="仿宋_GB2312"/>
          <w:sz w:val="24"/>
        </w:rPr>
        <w:t>平均分</w:t>
      </w:r>
      <w:r>
        <w:rPr>
          <w:rFonts w:hint="eastAsia" w:eastAsia="仿宋_GB2312"/>
          <w:sz w:val="24"/>
        </w:rPr>
        <w:t>90.82</w:t>
      </w:r>
      <w:r>
        <w:rPr>
          <w:rFonts w:eastAsia="仿宋_GB2312"/>
          <w:sz w:val="24"/>
        </w:rPr>
        <w:t>，</w:t>
      </w:r>
      <w:r>
        <w:rPr>
          <w:rFonts w:hint="eastAsia" w:eastAsia="仿宋_GB2312"/>
          <w:sz w:val="24"/>
        </w:rPr>
        <w:t>校</w:t>
      </w:r>
      <w:r>
        <w:rPr>
          <w:rFonts w:eastAsia="仿宋_GB2312"/>
          <w:sz w:val="24"/>
        </w:rPr>
        <w:t>最高分</w:t>
      </w:r>
      <w:r>
        <w:rPr>
          <w:rFonts w:hint="eastAsia" w:eastAsia="仿宋_GB2312"/>
          <w:sz w:val="24"/>
        </w:rPr>
        <w:t>94.79</w:t>
      </w:r>
      <w:r>
        <w:rPr>
          <w:rFonts w:eastAsia="仿宋_GB2312"/>
          <w:sz w:val="24"/>
        </w:rPr>
        <w:t>，</w:t>
      </w:r>
      <w:r>
        <w:rPr>
          <w:rFonts w:hint="eastAsia" w:eastAsia="仿宋_GB2312"/>
          <w:sz w:val="24"/>
        </w:rPr>
        <w:t>校</w:t>
      </w:r>
      <w:r>
        <w:rPr>
          <w:rFonts w:eastAsia="仿宋_GB2312"/>
          <w:sz w:val="24"/>
        </w:rPr>
        <w:t>最低分</w:t>
      </w:r>
      <w:r>
        <w:rPr>
          <w:rFonts w:hint="eastAsia" w:eastAsia="仿宋_GB2312"/>
          <w:sz w:val="24"/>
        </w:rPr>
        <w:t>80.65</w:t>
      </w:r>
      <w:r>
        <w:rPr>
          <w:rFonts w:eastAsia="仿宋_GB2312"/>
          <w:sz w:val="24"/>
        </w:rPr>
        <w:t>，各部门平均分详见表1。</w:t>
      </w:r>
    </w:p>
    <w:p>
      <w:pPr>
        <w:spacing w:before="156" w:beforeLines="50" w:line="288" w:lineRule="auto"/>
        <w:jc w:val="center"/>
        <w:rPr>
          <w:rFonts w:eastAsia="仿宋_GB2312"/>
          <w:b/>
          <w:sz w:val="24"/>
        </w:rPr>
      </w:pPr>
      <w:r>
        <w:rPr>
          <w:rFonts w:eastAsia="仿宋_GB2312"/>
          <w:b/>
          <w:sz w:val="24"/>
        </w:rPr>
        <w:t>表1、20</w:t>
      </w:r>
      <w:r>
        <w:rPr>
          <w:rFonts w:hint="eastAsia" w:eastAsia="仿宋_GB2312"/>
          <w:b/>
          <w:sz w:val="24"/>
        </w:rPr>
        <w:t>20</w:t>
      </w:r>
      <w:r>
        <w:rPr>
          <w:rFonts w:eastAsia="仿宋_GB2312"/>
          <w:b/>
          <w:sz w:val="24"/>
        </w:rPr>
        <w:t>~20</w:t>
      </w:r>
      <w:r>
        <w:rPr>
          <w:rFonts w:hint="eastAsia" w:eastAsia="仿宋_GB2312"/>
          <w:b/>
          <w:sz w:val="24"/>
        </w:rPr>
        <w:t>21</w:t>
      </w:r>
      <w:r>
        <w:rPr>
          <w:rFonts w:eastAsia="仿宋_GB2312"/>
          <w:b/>
          <w:sz w:val="24"/>
        </w:rPr>
        <w:t>学年第</w:t>
      </w:r>
      <w:r>
        <w:rPr>
          <w:rFonts w:hint="eastAsia" w:eastAsia="仿宋_GB2312"/>
          <w:b/>
          <w:sz w:val="24"/>
        </w:rPr>
        <w:t>二</w:t>
      </w:r>
      <w:r>
        <w:rPr>
          <w:rFonts w:eastAsia="仿宋_GB2312"/>
          <w:b/>
          <w:sz w:val="24"/>
        </w:rPr>
        <w:t>学期教师教学质量评价结果汇总表</w:t>
      </w:r>
    </w:p>
    <w:tbl>
      <w:tblPr>
        <w:tblStyle w:val="6"/>
        <w:tblW w:w="7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2268"/>
        <w:gridCol w:w="720"/>
        <w:gridCol w:w="939"/>
        <w:gridCol w:w="939"/>
        <w:gridCol w:w="939"/>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97" w:type="dxa"/>
            <w:vMerge w:val="restart"/>
            <w:shd w:val="clear" w:color="auto" w:fill="auto"/>
            <w:noWrap/>
            <w:vAlign w:val="center"/>
          </w:tcPr>
          <w:p>
            <w:pPr>
              <w:jc w:val="center"/>
              <w:rPr>
                <w:rFonts w:eastAsia="仿宋"/>
                <w:szCs w:val="21"/>
              </w:rPr>
            </w:pPr>
            <w:r>
              <w:rPr>
                <w:rFonts w:eastAsia="仿宋"/>
                <w:szCs w:val="21"/>
              </w:rPr>
              <w:t>序号</w:t>
            </w:r>
          </w:p>
        </w:tc>
        <w:tc>
          <w:tcPr>
            <w:tcW w:w="2268" w:type="dxa"/>
            <w:vMerge w:val="restart"/>
            <w:shd w:val="clear" w:color="auto" w:fill="auto"/>
            <w:noWrap/>
            <w:vAlign w:val="center"/>
          </w:tcPr>
          <w:p>
            <w:pPr>
              <w:jc w:val="center"/>
              <w:rPr>
                <w:rFonts w:eastAsia="仿宋"/>
                <w:szCs w:val="21"/>
              </w:rPr>
            </w:pPr>
            <w:r>
              <w:rPr>
                <w:rFonts w:eastAsia="仿宋"/>
                <w:szCs w:val="21"/>
              </w:rPr>
              <w:t>部门</w:t>
            </w:r>
          </w:p>
        </w:tc>
        <w:tc>
          <w:tcPr>
            <w:tcW w:w="720" w:type="dxa"/>
            <w:vMerge w:val="restart"/>
            <w:shd w:val="clear" w:color="auto" w:fill="auto"/>
            <w:noWrap/>
            <w:vAlign w:val="center"/>
          </w:tcPr>
          <w:p>
            <w:pPr>
              <w:jc w:val="center"/>
              <w:rPr>
                <w:rFonts w:eastAsia="仿宋"/>
                <w:szCs w:val="21"/>
              </w:rPr>
            </w:pPr>
            <w:r>
              <w:rPr>
                <w:rFonts w:eastAsia="仿宋"/>
                <w:szCs w:val="21"/>
              </w:rPr>
              <w:t>人数</w:t>
            </w:r>
          </w:p>
        </w:tc>
        <w:tc>
          <w:tcPr>
            <w:tcW w:w="3757" w:type="dxa"/>
            <w:gridSpan w:val="4"/>
            <w:shd w:val="clear" w:color="auto" w:fill="auto"/>
            <w:noWrap/>
            <w:vAlign w:val="center"/>
          </w:tcPr>
          <w:p>
            <w:pPr>
              <w:jc w:val="center"/>
              <w:rPr>
                <w:rFonts w:eastAsia="仿宋"/>
                <w:szCs w:val="21"/>
              </w:rPr>
            </w:pPr>
            <w:r>
              <w:rPr>
                <w:rFonts w:eastAsia="仿宋"/>
                <w:szCs w:val="21"/>
              </w:rPr>
              <w:t>系平均分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97" w:type="dxa"/>
            <w:vMerge w:val="continue"/>
            <w:vAlign w:val="center"/>
          </w:tcPr>
          <w:p>
            <w:pPr>
              <w:rPr>
                <w:rFonts w:eastAsia="仿宋"/>
                <w:szCs w:val="21"/>
              </w:rPr>
            </w:pPr>
          </w:p>
        </w:tc>
        <w:tc>
          <w:tcPr>
            <w:tcW w:w="2268" w:type="dxa"/>
            <w:vMerge w:val="continue"/>
            <w:vAlign w:val="center"/>
          </w:tcPr>
          <w:p>
            <w:pPr>
              <w:rPr>
                <w:rFonts w:eastAsia="仿宋"/>
                <w:szCs w:val="21"/>
              </w:rPr>
            </w:pPr>
          </w:p>
        </w:tc>
        <w:tc>
          <w:tcPr>
            <w:tcW w:w="720" w:type="dxa"/>
            <w:vMerge w:val="continue"/>
            <w:vAlign w:val="center"/>
          </w:tcPr>
          <w:p>
            <w:pPr>
              <w:rPr>
                <w:rFonts w:eastAsia="仿宋"/>
                <w:szCs w:val="21"/>
              </w:rPr>
            </w:pPr>
          </w:p>
        </w:tc>
        <w:tc>
          <w:tcPr>
            <w:tcW w:w="939" w:type="dxa"/>
            <w:shd w:val="clear" w:color="auto" w:fill="auto"/>
            <w:noWrap/>
            <w:vAlign w:val="center"/>
          </w:tcPr>
          <w:p>
            <w:pPr>
              <w:jc w:val="center"/>
              <w:rPr>
                <w:rFonts w:eastAsia="仿宋"/>
                <w:szCs w:val="21"/>
              </w:rPr>
            </w:pPr>
            <w:r>
              <w:rPr>
                <w:rFonts w:eastAsia="仿宋"/>
                <w:szCs w:val="21"/>
              </w:rPr>
              <w:t>专家</w:t>
            </w:r>
          </w:p>
        </w:tc>
        <w:tc>
          <w:tcPr>
            <w:tcW w:w="939" w:type="dxa"/>
            <w:shd w:val="clear" w:color="auto" w:fill="auto"/>
            <w:noWrap/>
            <w:vAlign w:val="center"/>
          </w:tcPr>
          <w:p>
            <w:pPr>
              <w:jc w:val="center"/>
              <w:rPr>
                <w:rFonts w:eastAsia="仿宋"/>
                <w:szCs w:val="21"/>
              </w:rPr>
            </w:pPr>
            <w:r>
              <w:rPr>
                <w:rFonts w:eastAsia="仿宋"/>
                <w:szCs w:val="21"/>
              </w:rPr>
              <w:t>同行</w:t>
            </w:r>
          </w:p>
        </w:tc>
        <w:tc>
          <w:tcPr>
            <w:tcW w:w="939" w:type="dxa"/>
            <w:shd w:val="clear" w:color="auto" w:fill="auto"/>
            <w:noWrap/>
            <w:vAlign w:val="center"/>
          </w:tcPr>
          <w:p>
            <w:pPr>
              <w:jc w:val="center"/>
              <w:rPr>
                <w:rFonts w:eastAsia="仿宋"/>
                <w:szCs w:val="21"/>
              </w:rPr>
            </w:pPr>
            <w:r>
              <w:rPr>
                <w:rFonts w:eastAsia="仿宋"/>
                <w:szCs w:val="21"/>
              </w:rPr>
              <w:t>学生</w:t>
            </w:r>
          </w:p>
        </w:tc>
        <w:tc>
          <w:tcPr>
            <w:tcW w:w="940" w:type="dxa"/>
            <w:shd w:val="clear" w:color="auto" w:fill="auto"/>
            <w:noWrap/>
            <w:vAlign w:val="center"/>
          </w:tcPr>
          <w:p>
            <w:pPr>
              <w:jc w:val="center"/>
              <w:rPr>
                <w:rFonts w:eastAsia="仿宋"/>
                <w:szCs w:val="21"/>
              </w:rPr>
            </w:pPr>
            <w:r>
              <w:rPr>
                <w:rFonts w:hint="eastAsia" w:eastAsia="仿宋"/>
                <w:szCs w:val="21"/>
              </w:rPr>
              <w:t>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电子技术与工程学院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30</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90.19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93.46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90.46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2</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通信与信息工程学院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64</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90.22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93.39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90.17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3</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机械与能源工程学院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27</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90.41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93.61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90.17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4</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经济与管理学院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38</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90.18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93.50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90.58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5</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中德工程学院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27</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90.15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93.60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91.00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6</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设计与艺术学院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19</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90.11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93.22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91.20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7</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外语学院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39</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90.21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93.49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90.31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8</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公共基础学院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28</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90.53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93.54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91.28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91.74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9</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马克思主义学院</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21</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90.48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93.61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90.19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10</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上海电子工业学校(中专部)</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13</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89.48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92.84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90.81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11</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外聘</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122</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86.79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91.24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89.65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89.27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12</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校内兼课</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72</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90.33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93.72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90.32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91.34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97"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2268"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汇总</w:t>
            </w:r>
          </w:p>
        </w:tc>
        <w:tc>
          <w:tcPr>
            <w:tcW w:w="72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500</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89.40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92.95 </w:t>
            </w:r>
          </w:p>
        </w:tc>
        <w:tc>
          <w:tcPr>
            <w:tcW w:w="939"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90.29 </w:t>
            </w:r>
          </w:p>
        </w:tc>
        <w:tc>
          <w:tcPr>
            <w:tcW w:w="940"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xml:space="preserve">90.82 </w:t>
            </w:r>
          </w:p>
        </w:tc>
      </w:tr>
    </w:tbl>
    <w:p>
      <w:pPr>
        <w:spacing w:line="288" w:lineRule="auto"/>
        <w:ind w:firstLine="482"/>
        <w:rPr>
          <w:rFonts w:eastAsia="仿宋_GB2312"/>
          <w:sz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5A5"/>
    <w:rsid w:val="000454B0"/>
    <w:rsid w:val="000600A0"/>
    <w:rsid w:val="00133A93"/>
    <w:rsid w:val="00146342"/>
    <w:rsid w:val="00283088"/>
    <w:rsid w:val="002D00FF"/>
    <w:rsid w:val="00363E99"/>
    <w:rsid w:val="0038504B"/>
    <w:rsid w:val="003A47DA"/>
    <w:rsid w:val="003A59FC"/>
    <w:rsid w:val="004530BC"/>
    <w:rsid w:val="004B7A7A"/>
    <w:rsid w:val="004D23B8"/>
    <w:rsid w:val="004E518E"/>
    <w:rsid w:val="0055683E"/>
    <w:rsid w:val="005951DD"/>
    <w:rsid w:val="005C3F70"/>
    <w:rsid w:val="005F5F8C"/>
    <w:rsid w:val="006B0F8F"/>
    <w:rsid w:val="008452CB"/>
    <w:rsid w:val="00962764"/>
    <w:rsid w:val="00980125"/>
    <w:rsid w:val="009F1D4F"/>
    <w:rsid w:val="00A1485F"/>
    <w:rsid w:val="00A213CD"/>
    <w:rsid w:val="00A33B09"/>
    <w:rsid w:val="00A4752A"/>
    <w:rsid w:val="00A536A5"/>
    <w:rsid w:val="00A76A92"/>
    <w:rsid w:val="00BC1554"/>
    <w:rsid w:val="00C748F3"/>
    <w:rsid w:val="00DC25A5"/>
    <w:rsid w:val="00E33B2B"/>
    <w:rsid w:val="00E8338C"/>
    <w:rsid w:val="00F30A35"/>
    <w:rsid w:val="00F859AE"/>
    <w:rsid w:val="00FC76BB"/>
    <w:rsid w:val="511E1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0"/>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1"/>
    <w:semiHidden/>
    <w:unhideWhenUsed/>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标题 2 Char"/>
    <w:basedOn w:val="7"/>
    <w:link w:val="2"/>
    <w:uiPriority w:val="0"/>
    <w:rPr>
      <w:rFonts w:ascii="Arial" w:hAnsi="Arial" w:eastAsia="黑体" w:cs="Times New Roman"/>
      <w:b/>
      <w:bCs/>
      <w:sz w:val="32"/>
      <w:szCs w:val="32"/>
    </w:rPr>
  </w:style>
  <w:style w:type="character" w:customStyle="1" w:styleId="11">
    <w:name w:val="批注框文本 Char"/>
    <w:basedOn w:val="7"/>
    <w:link w:val="3"/>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166</Words>
  <Characters>949</Characters>
  <Lines>7</Lines>
  <Paragraphs>2</Paragraphs>
  <TotalTime>395</TotalTime>
  <ScaleCrop>false</ScaleCrop>
  <LinksUpToDate>false</LinksUpToDate>
  <CharactersWithSpaces>1113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2017-12-28T01:13:00Z</dcterms:created>
  <dc:creator>USER</dc:creator>
  <cp:lastModifiedBy>Administrator</cp:lastModifiedBy>
  <dcterms:modified xsi:type="dcterms:W3CDTF">2021-09-28T06:32:47Z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2ADDABCB00CA4309BB81BCE32523947D</vt:lpwstr>
  </property>
</Properties>
</file>