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color w:val="FF0000"/>
          <w:sz w:val="24"/>
        </w:rPr>
      </w:pPr>
      <w:bookmarkStart w:id="0" w:name="_Toc248"/>
      <w:bookmarkStart w:id="1" w:name="_Toc27709"/>
      <w:bookmarkStart w:id="2" w:name="_Toc27908"/>
      <w:bookmarkStart w:id="7" w:name="_GoBack"/>
      <w:bookmarkEnd w:id="7"/>
    </w:p>
    <w:p>
      <w:pPr>
        <w:jc w:val="center"/>
        <w:rPr>
          <w:color w:val="FF0000"/>
          <w:sz w:val="24"/>
        </w:rPr>
      </w:pPr>
    </w:p>
    <w:p>
      <w:pPr>
        <w:jc w:val="center"/>
        <w:rPr>
          <w:color w:val="FF0000"/>
          <w:sz w:val="24"/>
        </w:rPr>
      </w:pPr>
    </w:p>
    <w:p>
      <w:pPr>
        <w:jc w:val="center"/>
        <w:rPr>
          <w:color w:val="FF0000"/>
          <w:sz w:val="24"/>
        </w:rPr>
      </w:pPr>
    </w:p>
    <w:p>
      <w:pPr>
        <w:jc w:val="center"/>
        <w:rPr>
          <w:color w:val="FF0000"/>
          <w:sz w:val="24"/>
        </w:rPr>
      </w:pPr>
    </w:p>
    <w:p>
      <w:pPr>
        <w:jc w:val="distribute"/>
        <w:rPr>
          <w:rFonts w:ascii="华文中宋" w:hAnsi="华文中宋" w:eastAsia="华文中宋"/>
          <w:b/>
          <w:color w:val="FF0000"/>
          <w:spacing w:val="266"/>
          <w:w w:val="72"/>
          <w:kern w:val="0"/>
          <w:sz w:val="72"/>
          <w:szCs w:val="72"/>
        </w:rPr>
      </w:pPr>
      <w:r>
        <w:rPr>
          <w:rFonts w:hint="eastAsia" w:ascii="华文中宋" w:hAnsi="华文中宋" w:eastAsia="华文中宋"/>
          <w:b/>
          <w:color w:val="FF0000"/>
          <w:w w:val="66"/>
          <w:kern w:val="0"/>
          <w:sz w:val="72"/>
          <w:szCs w:val="72"/>
        </w:rPr>
        <w:t>上海电子信息职业技术学院文</w:t>
      </w:r>
      <w:r>
        <w:rPr>
          <w:rFonts w:hint="eastAsia" w:ascii="华文中宋" w:hAnsi="华文中宋" w:eastAsia="华文中宋"/>
          <w:b/>
          <w:color w:val="FF0000"/>
          <w:spacing w:val="58"/>
          <w:w w:val="66"/>
          <w:kern w:val="0"/>
          <w:sz w:val="72"/>
          <w:szCs w:val="72"/>
        </w:rPr>
        <w:t>件</w:t>
      </w:r>
    </w:p>
    <w:p>
      <w:pPr>
        <w:jc w:val="both"/>
        <w:rPr>
          <w:sz w:val="24"/>
        </w:rPr>
      </w:pPr>
    </w:p>
    <w:p>
      <w:pPr>
        <w:spacing w:beforeLines="50"/>
        <w:jc w:val="center"/>
        <w:rPr>
          <w:rFonts w:eastAsia="仿宋_GB2312"/>
          <w:sz w:val="32"/>
          <w:szCs w:val="32"/>
        </w:rPr>
      </w:pPr>
      <w:r>
        <w:rPr>
          <w:rFonts w:eastAsia="仿宋_GB2312"/>
          <w:color w:val="000000"/>
          <w:kern w:val="0"/>
          <w:sz w:val="32"/>
          <w:szCs w:val="28"/>
        </w:rPr>
        <w:t>沪电信职院</w:t>
      </w:r>
      <w:r>
        <w:rPr>
          <w:rFonts w:hint="eastAsia" w:ascii="仿宋_GB2312" w:eastAsia="仿宋_GB2312"/>
          <w:color w:val="000000"/>
          <w:kern w:val="0"/>
          <w:sz w:val="32"/>
          <w:szCs w:val="28"/>
        </w:rPr>
        <w:t>〔</w:t>
      </w:r>
      <w:r>
        <w:rPr>
          <w:rFonts w:ascii="仿宋_GB2312" w:eastAsia="仿宋_GB2312"/>
          <w:color w:val="000000"/>
          <w:kern w:val="0"/>
          <w:sz w:val="32"/>
          <w:szCs w:val="28"/>
        </w:rPr>
        <w:t>201</w:t>
      </w:r>
      <w:r>
        <w:rPr>
          <w:rFonts w:hint="eastAsia" w:ascii="仿宋_GB2312" w:eastAsia="仿宋_GB2312"/>
          <w:color w:val="000000"/>
          <w:kern w:val="0"/>
          <w:sz w:val="32"/>
          <w:szCs w:val="28"/>
        </w:rPr>
        <w:t>8〕1</w:t>
      </w:r>
      <w:r>
        <w:rPr>
          <w:rFonts w:hint="eastAsia" w:ascii="仿宋_GB2312" w:eastAsia="仿宋_GB2312"/>
          <w:color w:val="000000"/>
          <w:kern w:val="0"/>
          <w:sz w:val="32"/>
          <w:szCs w:val="28"/>
          <w:lang w:val="en-US" w:eastAsia="zh-CN"/>
        </w:rPr>
        <w:t>21</w:t>
      </w:r>
      <w:r>
        <w:rPr>
          <w:rFonts w:ascii="仿宋_GB2312" w:eastAsia="仿宋_GB2312"/>
          <w:color w:val="000000"/>
          <w:kern w:val="0"/>
          <w:sz w:val="32"/>
          <w:szCs w:val="28"/>
        </w:rPr>
        <w:t>号</w:t>
      </w:r>
      <w:r>
        <w:rPr>
          <w:rFonts w:hint="eastAsia" w:ascii="仿宋_GB2312" w:eastAsia="仿宋_GB2312"/>
          <w:color w:val="000000"/>
          <w:kern w:val="0"/>
          <w:sz w:val="32"/>
          <w:szCs w:val="28"/>
        </w:rPr>
        <w:t xml:space="preserve">   </w:t>
      </w:r>
    </w:p>
    <w:p>
      <w:pPr>
        <w:snapToGrid w:val="0"/>
        <w:spacing w:beforeLines="100" w:line="500" w:lineRule="exact"/>
        <w:rPr>
          <w:rFonts w:ascii="黑体" w:eastAsia="黑体"/>
          <w:color w:val="FF0000"/>
          <w:sz w:val="28"/>
          <w:szCs w:val="28"/>
          <w:u w:val="thick"/>
        </w:rPr>
      </w:pPr>
      <w:r>
        <w:rPr>
          <w:rFonts w:hint="eastAsia" w:ascii="黑体" w:eastAsia="黑体"/>
          <w:color w:val="FF0000"/>
          <w:sz w:val="28"/>
          <w:szCs w:val="28"/>
          <w:u w:val="thick"/>
        </w:rPr>
        <w:t xml:space="preserve">                                                            </w:t>
      </w:r>
    </w:p>
    <w:p>
      <w:pPr>
        <w:pStyle w:val="5"/>
        <w:shd w:val="clear" w:color="auto" w:fill="FFFFFF"/>
        <w:spacing w:before="0" w:beforeAutospacing="0" w:after="0" w:afterAutospacing="0" w:line="560" w:lineRule="exact"/>
        <w:jc w:val="center"/>
        <w:rPr>
          <w:rFonts w:hint="eastAsia" w:ascii="宋体" w:hAnsi="宋体" w:eastAsia="华文中宋" w:cs="宋体"/>
          <w:b/>
          <w:kern w:val="0"/>
          <w:sz w:val="36"/>
          <w:szCs w:val="24"/>
        </w:rPr>
      </w:pPr>
    </w:p>
    <w:p>
      <w:pPr>
        <w:spacing w:line="360" w:lineRule="auto"/>
        <w:jc w:val="center"/>
        <w:rPr>
          <w:rFonts w:ascii="仿宋" w:hAnsi="仿宋" w:eastAsia="仿宋"/>
          <w:b/>
          <w:color w:val="000000"/>
          <w:sz w:val="36"/>
          <w:szCs w:val="36"/>
        </w:rPr>
      </w:pPr>
      <w:r>
        <w:rPr>
          <w:rFonts w:hint="eastAsia" w:ascii="宋体" w:hAnsi="宋体" w:eastAsia="华文中宋" w:cs="宋体"/>
          <w:b/>
          <w:kern w:val="0"/>
          <w:sz w:val="36"/>
          <w:szCs w:val="24"/>
        </w:rPr>
        <w:t>关于</w:t>
      </w:r>
      <w:r>
        <w:rPr>
          <w:rFonts w:hint="eastAsia" w:ascii="华文中宋" w:hAnsi="华文中宋" w:eastAsia="华文中宋" w:cs="华文中宋"/>
          <w:b/>
          <w:bCs w:val="0"/>
          <w:kern w:val="0"/>
          <w:sz w:val="36"/>
          <w:szCs w:val="36"/>
        </w:rPr>
        <w:t>印发《</w:t>
      </w:r>
      <w:r>
        <w:rPr>
          <w:rFonts w:hint="eastAsia" w:ascii="华文中宋" w:hAnsi="华文中宋" w:eastAsia="华文中宋" w:cs="华文中宋"/>
          <w:b/>
          <w:bCs w:val="0"/>
          <w:sz w:val="36"/>
          <w:szCs w:val="36"/>
        </w:rPr>
        <w:t>上海电子信息职业技术学院</w:t>
      </w:r>
      <w:r>
        <w:rPr>
          <w:rFonts w:hint="eastAsia" w:ascii="华文中宋" w:hAnsi="华文中宋" w:eastAsia="华文中宋" w:cs="华文中宋"/>
          <w:b/>
          <w:bCs w:val="0"/>
          <w:sz w:val="36"/>
          <w:szCs w:val="36"/>
          <w:lang w:eastAsia="zh-CN"/>
        </w:rPr>
        <w:t>教学事故的认定及处理办法</w:t>
      </w:r>
      <w:r>
        <w:rPr>
          <w:rFonts w:hint="eastAsia" w:ascii="华文中宋" w:hAnsi="华文中宋" w:eastAsia="华文中宋" w:cs="华文中宋"/>
          <w:b/>
          <w:bCs w:val="0"/>
          <w:sz w:val="36"/>
          <w:szCs w:val="36"/>
        </w:rPr>
        <w:t>》的通知</w:t>
      </w:r>
    </w:p>
    <w:p>
      <w:pPr>
        <w:spacing w:beforeLines="100" w:line="560" w:lineRule="exact"/>
        <w:rPr>
          <w:rFonts w:hint="eastAsia" w:ascii="仿宋_GB2312" w:hAnsi="仿宋_GB2312" w:eastAsia="仿宋_GB2312" w:cs="仿宋_GB2312"/>
          <w:color w:val="000000"/>
          <w:kern w:val="0"/>
          <w:sz w:val="32"/>
          <w:szCs w:val="32"/>
        </w:rPr>
      </w:pPr>
      <w:r>
        <w:rPr>
          <w:rFonts w:hint="eastAsia" w:ascii="仿宋_GB2312" w:eastAsia="仿宋_GB2312"/>
          <w:color w:val="000000"/>
          <w:kern w:val="0"/>
          <w:sz w:val="32"/>
          <w:szCs w:val="28"/>
        </w:rPr>
        <w:t>各教学单位、</w:t>
      </w:r>
      <w:r>
        <w:rPr>
          <w:rFonts w:hint="eastAsia" w:ascii="仿宋_GB2312" w:hAnsi="仿宋_GB2312" w:eastAsia="仿宋_GB2312" w:cs="仿宋_GB2312"/>
          <w:color w:val="000000"/>
          <w:kern w:val="0"/>
          <w:sz w:val="32"/>
          <w:szCs w:val="32"/>
        </w:rPr>
        <w:t>职能部门：</w:t>
      </w:r>
    </w:p>
    <w:p>
      <w:pPr>
        <w:spacing w:line="360" w:lineRule="auto"/>
        <w:ind w:firstLine="640"/>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000000"/>
          <w:kern w:val="0"/>
          <w:sz w:val="32"/>
          <w:szCs w:val="32"/>
        </w:rPr>
        <w:t>现将《</w:t>
      </w:r>
      <w:r>
        <w:rPr>
          <w:rFonts w:hint="eastAsia" w:ascii="仿宋_GB2312" w:hAnsi="仿宋_GB2312" w:eastAsia="仿宋_GB2312" w:cs="仿宋_GB2312"/>
          <w:sz w:val="32"/>
          <w:szCs w:val="32"/>
        </w:rPr>
        <w:t>上海电子信息职业技术学院</w:t>
      </w:r>
      <w:r>
        <w:rPr>
          <w:rFonts w:hint="eastAsia" w:ascii="仿宋_GB2312" w:hAnsi="仿宋_GB2312" w:eastAsia="仿宋_GB2312" w:cs="仿宋_GB2312"/>
          <w:sz w:val="32"/>
          <w:szCs w:val="32"/>
          <w:lang w:eastAsia="zh-CN"/>
        </w:rPr>
        <w:t>教学事故的认定及处</w:t>
      </w:r>
    </w:p>
    <w:p>
      <w:pPr>
        <w:spacing w:line="360" w:lineRule="auto"/>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sz w:val="32"/>
          <w:szCs w:val="32"/>
          <w:lang w:eastAsia="zh-CN"/>
        </w:rPr>
        <w:t>理办法</w:t>
      </w:r>
      <w:r>
        <w:rPr>
          <w:rFonts w:hint="eastAsia" w:ascii="仿宋_GB2312" w:hAnsi="仿宋_GB2312" w:eastAsia="仿宋_GB2312" w:cs="仿宋_GB2312"/>
          <w:color w:val="000000"/>
          <w:kern w:val="0"/>
          <w:sz w:val="32"/>
          <w:szCs w:val="32"/>
        </w:rPr>
        <w:t>》印发给你们，请结合本部门工作实际，认真研究执行。</w:t>
      </w:r>
      <w:r>
        <w:rPr>
          <w:rFonts w:hint="eastAsia" w:ascii="仿宋_GB2312" w:hAnsi="仿宋_GB2312" w:eastAsia="仿宋_GB2312" w:cs="仿宋_GB2312"/>
          <w:color w:val="000000"/>
          <w:kern w:val="0"/>
          <w:sz w:val="32"/>
          <w:szCs w:val="32"/>
        </w:rPr>
        <w:tab/>
      </w:r>
    </w:p>
    <w:p>
      <w:pPr>
        <w:spacing w:line="560" w:lineRule="exact"/>
        <w:jc w:val="cente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  </w:t>
      </w:r>
    </w:p>
    <w:p>
      <w:pPr>
        <w:spacing w:line="500" w:lineRule="exact"/>
        <w:ind w:left="1598" w:leftChars="304" w:right="480" w:hanging="960" w:hangingChars="300"/>
        <w:rPr>
          <w:rFonts w:hint="eastAsia" w:ascii="仿宋_GB2312" w:eastAsia="仿宋_GB2312"/>
          <w:color w:val="000000"/>
          <w:kern w:val="0"/>
          <w:sz w:val="32"/>
          <w:szCs w:val="28"/>
          <w:lang w:eastAsia="zh-CN"/>
        </w:rPr>
      </w:pPr>
      <w:r>
        <w:rPr>
          <w:rFonts w:hint="eastAsia" w:ascii="仿宋_GB2312" w:hAnsi="仿宋_GB2312" w:eastAsia="仿宋_GB2312" w:cs="仿宋_GB2312"/>
          <w:color w:val="000000"/>
          <w:kern w:val="0"/>
          <w:sz w:val="32"/>
          <w:szCs w:val="32"/>
        </w:rPr>
        <w:t>附件：</w:t>
      </w:r>
      <w:r>
        <w:rPr>
          <w:rFonts w:hint="eastAsia" w:ascii="仿宋_GB2312" w:hAnsi="仿宋_GB2312" w:eastAsia="仿宋_GB2312" w:cs="仿宋_GB2312"/>
          <w:sz w:val="32"/>
          <w:szCs w:val="32"/>
        </w:rPr>
        <w:t>上海电子信息职业技术学院</w:t>
      </w:r>
      <w:r>
        <w:rPr>
          <w:rFonts w:hint="eastAsia" w:ascii="仿宋_GB2312" w:hAnsi="仿宋_GB2312" w:eastAsia="仿宋_GB2312" w:cs="仿宋_GB2312"/>
          <w:sz w:val="32"/>
          <w:szCs w:val="32"/>
          <w:lang w:eastAsia="zh-CN"/>
        </w:rPr>
        <w:t>教学事故的认定及处理办法</w:t>
      </w:r>
    </w:p>
    <w:p>
      <w:pPr>
        <w:spacing w:line="500" w:lineRule="exact"/>
        <w:ind w:right="480" w:firstLine="3680" w:firstLineChars="1150"/>
        <w:rPr>
          <w:rFonts w:hint="eastAsia" w:ascii="仿宋_GB2312" w:eastAsia="仿宋_GB2312"/>
          <w:color w:val="000000"/>
          <w:kern w:val="0"/>
          <w:sz w:val="32"/>
          <w:szCs w:val="28"/>
        </w:rPr>
      </w:pPr>
    </w:p>
    <w:p>
      <w:pPr>
        <w:spacing w:line="500" w:lineRule="exact"/>
        <w:ind w:right="480" w:firstLine="3680" w:firstLineChars="1150"/>
        <w:rPr>
          <w:rFonts w:ascii="仿宋_GB2312" w:eastAsia="仿宋_GB2312"/>
          <w:color w:val="000000"/>
          <w:kern w:val="0"/>
          <w:sz w:val="32"/>
          <w:szCs w:val="28"/>
        </w:rPr>
      </w:pPr>
      <w:r>
        <w:rPr>
          <w:rFonts w:hint="eastAsia" w:ascii="仿宋_GB2312" w:eastAsia="仿宋_GB2312"/>
          <w:color w:val="000000"/>
          <w:kern w:val="0"/>
          <w:sz w:val="32"/>
          <w:szCs w:val="28"/>
        </w:rPr>
        <w:t>上海电子信息职业技术学院</w:t>
      </w:r>
    </w:p>
    <w:p>
      <w:pPr>
        <w:spacing w:line="500" w:lineRule="exact"/>
        <w:ind w:right="480"/>
        <w:rPr>
          <w:rFonts w:ascii="仿宋_GB2312" w:eastAsia="仿宋_GB2312"/>
          <w:color w:val="000000"/>
          <w:kern w:val="0"/>
          <w:sz w:val="32"/>
          <w:szCs w:val="28"/>
        </w:rPr>
      </w:pPr>
      <w:r>
        <w:rPr>
          <w:rFonts w:hint="eastAsia" w:ascii="仿宋_GB2312" w:eastAsia="仿宋_GB2312"/>
          <w:color w:val="000000"/>
          <w:kern w:val="0"/>
          <w:sz w:val="32"/>
          <w:szCs w:val="28"/>
        </w:rPr>
        <w:t xml:space="preserve">                            2018年</w:t>
      </w:r>
      <w:r>
        <w:rPr>
          <w:rFonts w:hint="eastAsia" w:ascii="仿宋_GB2312" w:eastAsia="仿宋_GB2312"/>
          <w:color w:val="000000"/>
          <w:kern w:val="0"/>
          <w:sz w:val="32"/>
          <w:szCs w:val="28"/>
          <w:lang w:val="en-US" w:eastAsia="zh-CN"/>
        </w:rPr>
        <w:t>7</w:t>
      </w:r>
      <w:r>
        <w:rPr>
          <w:rFonts w:hint="eastAsia" w:ascii="仿宋_GB2312" w:eastAsia="仿宋_GB2312"/>
          <w:color w:val="000000"/>
          <w:kern w:val="0"/>
          <w:sz w:val="32"/>
          <w:szCs w:val="28"/>
        </w:rPr>
        <w:t>月</w:t>
      </w:r>
      <w:r>
        <w:rPr>
          <w:rFonts w:hint="eastAsia" w:ascii="仿宋_GB2312" w:eastAsia="仿宋_GB2312"/>
          <w:color w:val="000000"/>
          <w:kern w:val="0"/>
          <w:sz w:val="32"/>
          <w:szCs w:val="28"/>
          <w:lang w:val="en-US" w:eastAsia="zh-CN"/>
        </w:rPr>
        <w:t>10</w:t>
      </w:r>
      <w:r>
        <w:rPr>
          <w:rFonts w:hint="eastAsia" w:ascii="仿宋_GB2312" w:eastAsia="仿宋_GB2312"/>
          <w:color w:val="000000"/>
          <w:kern w:val="0"/>
          <w:sz w:val="32"/>
          <w:szCs w:val="28"/>
        </w:rPr>
        <w:t>日</w:t>
      </w:r>
    </w:p>
    <w:p>
      <w:pPr>
        <w:spacing w:line="360" w:lineRule="auto"/>
        <w:jc w:val="center"/>
        <w:rPr>
          <w:rFonts w:hint="eastAsia" w:ascii="黑体" w:hAnsi="Times New Roman" w:eastAsia="黑体"/>
          <w:sz w:val="30"/>
          <w:szCs w:val="30"/>
        </w:rPr>
      </w:pPr>
    </w:p>
    <w:p>
      <w:pPr>
        <w:spacing w:line="360" w:lineRule="auto"/>
        <w:jc w:val="center"/>
        <w:rPr>
          <w:rFonts w:hint="eastAsia" w:ascii="黑体" w:hAnsi="Times New Roman" w:eastAsia="黑体"/>
          <w:sz w:val="30"/>
          <w:szCs w:val="30"/>
        </w:rPr>
      </w:pPr>
    </w:p>
    <w:p>
      <w:pPr>
        <w:spacing w:after="312" w:afterLines="100" w:line="400" w:lineRule="exact"/>
        <w:jc w:val="center"/>
        <w:outlineLvl w:val="0"/>
        <w:rPr>
          <w:rFonts w:hint="eastAsia" w:ascii="仿宋" w:hAnsi="仿宋" w:eastAsia="仿宋" w:cs="仿宋"/>
          <w:b/>
          <w:color w:val="000000"/>
          <w:kern w:val="0"/>
          <w:sz w:val="32"/>
          <w:szCs w:val="32"/>
        </w:rPr>
      </w:pPr>
      <w:r>
        <w:rPr>
          <w:rFonts w:hint="eastAsia" w:ascii="仿宋" w:hAnsi="仿宋" w:eastAsia="仿宋" w:cs="仿宋"/>
          <w:b/>
          <w:color w:val="000000"/>
          <w:kern w:val="0"/>
          <w:sz w:val="32"/>
          <w:szCs w:val="32"/>
        </w:rPr>
        <w:t>上海电子信息职业技术学院教学事故的认定及处理办法</w:t>
      </w:r>
      <w:bookmarkEnd w:id="0"/>
      <w:bookmarkEnd w:id="1"/>
      <w:bookmarkEnd w:id="2"/>
    </w:p>
    <w:p>
      <w:pPr>
        <w:spacing w:line="400" w:lineRule="exact"/>
        <w:ind w:firstLine="420" w:firstLineChars="200"/>
        <w:rPr>
          <w:rFonts w:hint="eastAsia" w:ascii="仿宋" w:hAnsi="仿宋" w:eastAsia="仿宋" w:cs="仿宋"/>
          <w:color w:val="000000"/>
          <w:szCs w:val="21"/>
        </w:rPr>
      </w:pPr>
      <w:r>
        <w:rPr>
          <w:rFonts w:hint="eastAsia" w:ascii="仿宋" w:hAnsi="仿宋" w:eastAsia="仿宋" w:cs="仿宋"/>
          <w:color w:val="000000"/>
          <w:szCs w:val="21"/>
        </w:rPr>
        <w:t>为进一步强化教学管理，确保教学秩序的稳定，提高教学质量，特制定本办法。</w:t>
      </w:r>
    </w:p>
    <w:p>
      <w:pPr>
        <w:spacing w:line="400" w:lineRule="exact"/>
        <w:ind w:firstLine="422" w:firstLineChars="200"/>
        <w:outlineLvl w:val="1"/>
        <w:rPr>
          <w:rFonts w:hint="eastAsia" w:ascii="仿宋" w:hAnsi="仿宋" w:eastAsia="仿宋" w:cs="仿宋"/>
          <w:b/>
          <w:color w:val="000000"/>
          <w:szCs w:val="21"/>
        </w:rPr>
      </w:pPr>
      <w:bookmarkStart w:id="3" w:name="_Toc295991890"/>
      <w:r>
        <w:rPr>
          <w:rFonts w:hint="eastAsia" w:ascii="仿宋" w:hAnsi="仿宋" w:eastAsia="仿宋" w:cs="仿宋"/>
          <w:b/>
          <w:color w:val="000000"/>
          <w:szCs w:val="21"/>
        </w:rPr>
        <w:t>一、教学事故的认定</w:t>
      </w:r>
      <w:bookmarkEnd w:id="3"/>
    </w:p>
    <w:p>
      <w:pPr>
        <w:spacing w:line="400" w:lineRule="exact"/>
        <w:ind w:firstLine="420" w:firstLineChars="200"/>
        <w:rPr>
          <w:rFonts w:hint="eastAsia" w:ascii="仿宋" w:hAnsi="仿宋" w:eastAsia="仿宋" w:cs="仿宋"/>
          <w:color w:val="000000"/>
          <w:szCs w:val="21"/>
        </w:rPr>
      </w:pPr>
      <w:r>
        <w:rPr>
          <w:rFonts w:hint="eastAsia" w:ascii="仿宋" w:hAnsi="仿宋" w:eastAsia="仿宋" w:cs="仿宋"/>
          <w:color w:val="000000"/>
          <w:szCs w:val="21"/>
        </w:rPr>
        <w:t>（一）教学事故是指在教学活动中由于当事人的故意或过失，给学校的教学活动造成不良后果的事件或行为。</w:t>
      </w:r>
    </w:p>
    <w:p>
      <w:pPr>
        <w:spacing w:line="400" w:lineRule="exact"/>
        <w:ind w:firstLine="420" w:firstLineChars="200"/>
        <w:rPr>
          <w:rFonts w:hint="eastAsia" w:ascii="仿宋" w:hAnsi="仿宋" w:eastAsia="仿宋" w:cs="仿宋"/>
          <w:color w:val="000000"/>
          <w:szCs w:val="21"/>
        </w:rPr>
      </w:pPr>
      <w:r>
        <w:rPr>
          <w:rFonts w:hint="eastAsia" w:ascii="仿宋" w:hAnsi="仿宋" w:eastAsia="仿宋" w:cs="仿宋"/>
          <w:color w:val="000000"/>
          <w:szCs w:val="21"/>
        </w:rPr>
        <w:t>（二）教学事故认定范围包括：教学工作、考试工作和教学管理工作。</w:t>
      </w:r>
    </w:p>
    <w:p>
      <w:pPr>
        <w:spacing w:line="400" w:lineRule="exact"/>
        <w:ind w:firstLine="420" w:firstLineChars="200"/>
        <w:rPr>
          <w:rFonts w:hint="eastAsia" w:ascii="仿宋" w:hAnsi="仿宋" w:eastAsia="仿宋" w:cs="仿宋"/>
          <w:color w:val="000000"/>
          <w:szCs w:val="21"/>
        </w:rPr>
      </w:pPr>
      <w:r>
        <w:rPr>
          <w:rFonts w:hint="eastAsia" w:ascii="仿宋" w:hAnsi="仿宋" w:eastAsia="仿宋" w:cs="仿宋"/>
          <w:color w:val="000000"/>
          <w:szCs w:val="21"/>
        </w:rPr>
        <w:t>（三）依据教学事故给学校的教学活动带来不良后果的程度和影响，分为一般教学事故和严重教学事故。具体认定标准见《上海电子信息职业技术学院教学事故等级认定表》（附件1）。</w:t>
      </w:r>
    </w:p>
    <w:p>
      <w:pPr>
        <w:spacing w:line="400" w:lineRule="exact"/>
        <w:ind w:firstLine="422" w:firstLineChars="200"/>
        <w:outlineLvl w:val="1"/>
        <w:rPr>
          <w:rFonts w:hint="eastAsia" w:ascii="仿宋" w:hAnsi="仿宋" w:eastAsia="仿宋" w:cs="仿宋"/>
          <w:b/>
          <w:color w:val="000000"/>
          <w:szCs w:val="21"/>
        </w:rPr>
      </w:pPr>
      <w:bookmarkStart w:id="4" w:name="_Toc295991891"/>
      <w:r>
        <w:rPr>
          <w:rFonts w:hint="eastAsia" w:ascii="仿宋" w:hAnsi="仿宋" w:eastAsia="仿宋" w:cs="仿宋"/>
          <w:b/>
          <w:color w:val="000000"/>
          <w:szCs w:val="21"/>
        </w:rPr>
        <w:t>二、教学事故的处理</w:t>
      </w:r>
      <w:bookmarkEnd w:id="4"/>
    </w:p>
    <w:p>
      <w:pPr>
        <w:spacing w:line="400" w:lineRule="exact"/>
        <w:ind w:firstLine="420" w:firstLineChars="200"/>
        <w:rPr>
          <w:rFonts w:hint="eastAsia" w:ascii="仿宋" w:hAnsi="仿宋" w:eastAsia="仿宋" w:cs="仿宋"/>
          <w:color w:val="000000"/>
          <w:szCs w:val="21"/>
        </w:rPr>
      </w:pPr>
      <w:r>
        <w:rPr>
          <w:rFonts w:hint="eastAsia" w:ascii="仿宋" w:hAnsi="仿宋" w:eastAsia="仿宋" w:cs="仿宋"/>
          <w:color w:val="000000"/>
          <w:szCs w:val="21"/>
        </w:rPr>
        <w:t>（一）凡被认定为教学事故的当事人，均给予全校通报批评。</w:t>
      </w:r>
    </w:p>
    <w:p>
      <w:pPr>
        <w:spacing w:line="400" w:lineRule="exact"/>
        <w:ind w:firstLine="420" w:firstLineChars="200"/>
        <w:rPr>
          <w:rFonts w:hint="eastAsia" w:ascii="仿宋" w:hAnsi="仿宋" w:eastAsia="仿宋" w:cs="仿宋"/>
          <w:color w:val="000000"/>
          <w:szCs w:val="21"/>
        </w:rPr>
      </w:pPr>
      <w:r>
        <w:rPr>
          <w:rFonts w:hint="eastAsia" w:ascii="仿宋" w:hAnsi="仿宋" w:eastAsia="仿宋" w:cs="仿宋"/>
          <w:color w:val="000000"/>
          <w:szCs w:val="21"/>
        </w:rPr>
        <w:t>（二）一年内发生一次一般教学事故者，当年年终考核不能评定为优秀。一年内发生二次及以上一般教学事故者，当年年终考核为不合格，取消参加当年各种与教学相关奖励的评审资格。</w:t>
      </w:r>
    </w:p>
    <w:p>
      <w:pPr>
        <w:spacing w:line="400" w:lineRule="exact"/>
        <w:ind w:firstLine="420" w:firstLineChars="200"/>
        <w:rPr>
          <w:rFonts w:hint="eastAsia" w:ascii="仿宋" w:hAnsi="仿宋" w:eastAsia="仿宋" w:cs="仿宋"/>
          <w:color w:val="000000"/>
          <w:szCs w:val="21"/>
        </w:rPr>
      </w:pPr>
      <w:r>
        <w:rPr>
          <w:rFonts w:hint="eastAsia" w:ascii="仿宋" w:hAnsi="仿宋" w:eastAsia="仿宋" w:cs="仿宋"/>
          <w:color w:val="000000"/>
          <w:szCs w:val="21"/>
        </w:rPr>
        <w:t>（三）一年内发生一次严重教学事故者，当年年终考核为不合格，取消参加当年各种与教学相关奖励的评审资格。一年内发生二次及以上严重教学事故的教师，予以停课处理，调离原工作岗位。</w:t>
      </w:r>
    </w:p>
    <w:p>
      <w:pPr>
        <w:spacing w:line="400" w:lineRule="exact"/>
        <w:ind w:firstLine="420" w:firstLineChars="200"/>
        <w:rPr>
          <w:rFonts w:hint="eastAsia" w:ascii="仿宋" w:hAnsi="仿宋" w:eastAsia="仿宋" w:cs="仿宋"/>
          <w:color w:val="000000"/>
          <w:szCs w:val="21"/>
        </w:rPr>
      </w:pPr>
      <w:r>
        <w:rPr>
          <w:rFonts w:hint="eastAsia" w:ascii="仿宋" w:hAnsi="仿宋" w:eastAsia="仿宋" w:cs="仿宋"/>
          <w:color w:val="000000"/>
          <w:szCs w:val="21"/>
        </w:rPr>
        <w:t>（四）对于教学事故当事人晋升专业技术职务（职级）问题的处理，按学校有关规定执行。</w:t>
      </w:r>
    </w:p>
    <w:p>
      <w:pPr>
        <w:spacing w:line="400" w:lineRule="exact"/>
        <w:ind w:firstLine="420" w:firstLineChars="200"/>
        <w:rPr>
          <w:rFonts w:hint="eastAsia" w:ascii="仿宋" w:hAnsi="仿宋" w:eastAsia="仿宋" w:cs="仿宋"/>
          <w:color w:val="000000"/>
          <w:szCs w:val="21"/>
        </w:rPr>
      </w:pPr>
      <w:r>
        <w:rPr>
          <w:rFonts w:hint="eastAsia" w:ascii="仿宋" w:hAnsi="仿宋" w:eastAsia="仿宋" w:cs="仿宋"/>
          <w:color w:val="000000"/>
          <w:szCs w:val="21"/>
        </w:rPr>
        <w:t>（五）一年内发生三次及以上严重教学事故的二级学院，其教学工作年终考核评为不合格。</w:t>
      </w:r>
    </w:p>
    <w:p>
      <w:pPr>
        <w:spacing w:line="400" w:lineRule="exact"/>
        <w:ind w:firstLine="422" w:firstLineChars="200"/>
        <w:outlineLvl w:val="1"/>
        <w:rPr>
          <w:rFonts w:hint="eastAsia" w:ascii="仿宋" w:hAnsi="仿宋" w:eastAsia="仿宋" w:cs="仿宋"/>
          <w:b/>
          <w:color w:val="000000"/>
          <w:szCs w:val="21"/>
        </w:rPr>
      </w:pPr>
      <w:bookmarkStart w:id="5" w:name="_Toc295991892"/>
      <w:r>
        <w:rPr>
          <w:rFonts w:hint="eastAsia" w:ascii="仿宋" w:hAnsi="仿宋" w:eastAsia="仿宋" w:cs="仿宋"/>
          <w:b/>
          <w:color w:val="000000"/>
          <w:szCs w:val="21"/>
        </w:rPr>
        <w:t>三、教学事故认定及处理的程序</w:t>
      </w:r>
      <w:bookmarkEnd w:id="5"/>
    </w:p>
    <w:p>
      <w:pPr>
        <w:spacing w:line="400" w:lineRule="exact"/>
        <w:ind w:firstLine="420" w:firstLineChars="200"/>
        <w:rPr>
          <w:rFonts w:hint="eastAsia" w:ascii="仿宋" w:hAnsi="仿宋" w:eastAsia="仿宋" w:cs="仿宋"/>
          <w:color w:val="000000"/>
          <w:szCs w:val="21"/>
        </w:rPr>
      </w:pPr>
      <w:r>
        <w:rPr>
          <w:rFonts w:hint="eastAsia" w:ascii="仿宋" w:hAnsi="仿宋" w:eastAsia="仿宋" w:cs="仿宋"/>
          <w:color w:val="000000"/>
          <w:szCs w:val="21"/>
        </w:rPr>
        <w:t>（一）学校对教学工作进行定期检查和随机抽查，随时接受对教学事故的举报，及时发现并处理教学事故。</w:t>
      </w:r>
    </w:p>
    <w:p>
      <w:pPr>
        <w:spacing w:line="400" w:lineRule="exact"/>
        <w:ind w:firstLine="420" w:firstLineChars="200"/>
        <w:rPr>
          <w:rFonts w:hint="eastAsia" w:ascii="仿宋" w:hAnsi="仿宋" w:eastAsia="仿宋" w:cs="仿宋"/>
          <w:color w:val="000000"/>
          <w:szCs w:val="21"/>
        </w:rPr>
      </w:pPr>
      <w:r>
        <w:rPr>
          <w:rFonts w:hint="eastAsia" w:ascii="仿宋" w:hAnsi="仿宋" w:eastAsia="仿宋" w:cs="仿宋"/>
          <w:color w:val="000000"/>
          <w:szCs w:val="21"/>
        </w:rPr>
        <w:t>（二）由教学主管部门会同有关单位根据《上海电子信息职业技术学院教学事故等级认定表》组织对教学事故的认定，并提出处理意见，填写《上海电子信息职业技术学院教学事故认定审批表》（附件2），连同教学事故当事人关于教学事故原因和情况的说明，报学校领导审批。</w:t>
      </w:r>
    </w:p>
    <w:p>
      <w:pPr>
        <w:spacing w:line="400" w:lineRule="exact"/>
        <w:ind w:firstLine="420" w:firstLineChars="200"/>
        <w:rPr>
          <w:rFonts w:hint="eastAsia" w:ascii="仿宋" w:hAnsi="仿宋" w:eastAsia="仿宋" w:cs="仿宋"/>
          <w:color w:val="000000"/>
          <w:szCs w:val="21"/>
        </w:rPr>
      </w:pPr>
      <w:r>
        <w:rPr>
          <w:rFonts w:hint="eastAsia" w:ascii="仿宋" w:hAnsi="仿宋" w:eastAsia="仿宋" w:cs="仿宋"/>
          <w:color w:val="000000"/>
          <w:szCs w:val="21"/>
        </w:rPr>
        <w:t>（三）各单位发生教学事故，应及时向教学主管部门报告，任何单位、个人都不得隐瞒教学事故和包庇教学事故当事人。</w:t>
      </w:r>
    </w:p>
    <w:p>
      <w:pPr>
        <w:spacing w:line="400" w:lineRule="exact"/>
        <w:ind w:firstLine="420" w:firstLineChars="200"/>
        <w:rPr>
          <w:rFonts w:hint="eastAsia" w:ascii="仿宋" w:hAnsi="仿宋" w:eastAsia="仿宋" w:cs="仿宋"/>
          <w:color w:val="000000"/>
          <w:szCs w:val="21"/>
        </w:rPr>
      </w:pPr>
      <w:r>
        <w:rPr>
          <w:rFonts w:hint="eastAsia" w:ascii="仿宋" w:hAnsi="仿宋" w:eastAsia="仿宋" w:cs="仿宋"/>
          <w:color w:val="000000"/>
          <w:szCs w:val="21"/>
        </w:rPr>
        <w:t>（四）教学事故当事人如果对认定及处理结果有异议，可在15日内向负责认定及处理的教务处直至学校申请复议，逾期视为无异议。</w:t>
      </w:r>
    </w:p>
    <w:p>
      <w:pPr>
        <w:spacing w:line="400" w:lineRule="exact"/>
        <w:ind w:firstLine="422" w:firstLineChars="200"/>
        <w:outlineLvl w:val="1"/>
        <w:rPr>
          <w:rFonts w:hint="eastAsia" w:ascii="仿宋" w:hAnsi="仿宋" w:eastAsia="仿宋" w:cs="仿宋"/>
          <w:b/>
          <w:color w:val="000000"/>
          <w:szCs w:val="21"/>
        </w:rPr>
      </w:pPr>
      <w:bookmarkStart w:id="6" w:name="_Toc295991893"/>
      <w:r>
        <w:rPr>
          <w:rFonts w:hint="eastAsia" w:ascii="仿宋" w:hAnsi="仿宋" w:eastAsia="仿宋" w:cs="仿宋"/>
          <w:b/>
          <w:color w:val="000000"/>
          <w:szCs w:val="21"/>
        </w:rPr>
        <w:t>四、附则</w:t>
      </w:r>
      <w:bookmarkEnd w:id="6"/>
    </w:p>
    <w:p>
      <w:pPr>
        <w:spacing w:line="400" w:lineRule="exact"/>
        <w:ind w:firstLine="420" w:firstLineChars="200"/>
        <w:rPr>
          <w:rFonts w:hint="eastAsia" w:ascii="仿宋" w:hAnsi="仿宋" w:eastAsia="仿宋" w:cs="仿宋"/>
          <w:color w:val="000000"/>
          <w:szCs w:val="21"/>
        </w:rPr>
      </w:pPr>
      <w:r>
        <w:rPr>
          <w:rFonts w:hint="eastAsia" w:ascii="仿宋" w:hAnsi="仿宋" w:eastAsia="仿宋" w:cs="仿宋"/>
          <w:color w:val="000000"/>
          <w:szCs w:val="21"/>
        </w:rPr>
        <w:t>本办法由教务处负责解释。</w:t>
      </w:r>
    </w:p>
    <w:p>
      <w:pPr>
        <w:spacing w:line="400" w:lineRule="exact"/>
        <w:ind w:firstLine="420" w:firstLineChars="200"/>
        <w:rPr>
          <w:rFonts w:hint="eastAsia" w:ascii="仿宋" w:hAnsi="仿宋" w:eastAsia="仿宋" w:cs="仿宋"/>
          <w:color w:val="000000"/>
          <w:szCs w:val="21"/>
        </w:rPr>
      </w:pPr>
    </w:p>
    <w:p>
      <w:pPr>
        <w:spacing w:line="400" w:lineRule="exact"/>
        <w:ind w:firstLine="420" w:firstLineChars="200"/>
        <w:rPr>
          <w:rFonts w:hint="eastAsia" w:ascii="仿宋" w:hAnsi="仿宋" w:eastAsia="仿宋" w:cs="仿宋"/>
          <w:color w:val="000000"/>
          <w:szCs w:val="21"/>
        </w:rPr>
      </w:pPr>
    </w:p>
    <w:p>
      <w:pPr>
        <w:spacing w:line="400" w:lineRule="exact"/>
        <w:ind w:firstLine="420" w:firstLineChars="200"/>
        <w:rPr>
          <w:rFonts w:hint="eastAsia" w:ascii="仿宋" w:hAnsi="仿宋" w:eastAsia="仿宋" w:cs="仿宋"/>
          <w:color w:val="000000"/>
          <w:szCs w:val="21"/>
        </w:rPr>
      </w:pPr>
      <w:r>
        <w:rPr>
          <w:rFonts w:hint="eastAsia" w:ascii="仿宋" w:hAnsi="仿宋" w:eastAsia="仿宋" w:cs="仿宋"/>
          <w:color w:val="000000"/>
          <w:szCs w:val="21"/>
        </w:rPr>
        <w:t>附件：</w:t>
      </w:r>
    </w:p>
    <w:p>
      <w:pPr>
        <w:spacing w:line="400" w:lineRule="exact"/>
        <w:ind w:firstLine="840" w:firstLineChars="400"/>
        <w:rPr>
          <w:rFonts w:hint="eastAsia" w:ascii="仿宋" w:hAnsi="仿宋" w:eastAsia="仿宋" w:cs="仿宋"/>
          <w:color w:val="000000"/>
          <w:szCs w:val="21"/>
        </w:rPr>
      </w:pPr>
      <w:r>
        <w:rPr>
          <w:rFonts w:hint="eastAsia" w:ascii="仿宋" w:hAnsi="仿宋" w:eastAsia="仿宋" w:cs="仿宋"/>
          <w:color w:val="000000"/>
          <w:szCs w:val="21"/>
        </w:rPr>
        <w:t>附件1：上海电子信息职业技术学院教学事故等级认定表</w:t>
      </w:r>
    </w:p>
    <w:p>
      <w:pPr>
        <w:spacing w:line="400" w:lineRule="exact"/>
        <w:ind w:firstLine="840" w:firstLineChars="400"/>
        <w:rPr>
          <w:rFonts w:hint="eastAsia" w:ascii="仿宋" w:hAnsi="仿宋" w:eastAsia="仿宋" w:cs="仿宋"/>
          <w:color w:val="000000"/>
          <w:szCs w:val="21"/>
        </w:rPr>
      </w:pPr>
      <w:r>
        <w:rPr>
          <w:rFonts w:hint="eastAsia" w:ascii="仿宋" w:hAnsi="仿宋" w:eastAsia="仿宋" w:cs="仿宋"/>
          <w:color w:val="000000"/>
          <w:szCs w:val="21"/>
        </w:rPr>
        <w:t>附件2：上海电子信息职业技术学院教学事故认定审批表</w:t>
      </w:r>
    </w:p>
    <w:p>
      <w:pPr>
        <w:spacing w:line="400" w:lineRule="exact"/>
        <w:rPr>
          <w:rFonts w:hint="eastAsia" w:ascii="仿宋" w:hAnsi="仿宋" w:eastAsia="仿宋" w:cs="仿宋"/>
          <w:color w:val="000000"/>
          <w:sz w:val="24"/>
        </w:rPr>
      </w:pPr>
      <w:r>
        <w:rPr>
          <w:rFonts w:hint="eastAsia" w:ascii="仿宋" w:hAnsi="仿宋" w:eastAsia="仿宋" w:cs="仿宋"/>
          <w:color w:val="000000"/>
          <w:szCs w:val="21"/>
        </w:rPr>
        <w:br w:type="page"/>
      </w:r>
      <w:r>
        <w:rPr>
          <w:rFonts w:hint="eastAsia" w:ascii="仿宋" w:hAnsi="仿宋" w:eastAsia="仿宋" w:cs="仿宋"/>
          <w:color w:val="000000"/>
          <w:sz w:val="24"/>
        </w:rPr>
        <w:t>附件1</w:t>
      </w:r>
    </w:p>
    <w:p>
      <w:pPr>
        <w:spacing w:after="312" w:afterLines="100" w:line="4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上海电子信息职业技术学院教学事故等级认定表</w:t>
      </w:r>
    </w:p>
    <w:tbl>
      <w:tblPr>
        <w:tblStyle w:val="4"/>
        <w:tblW w:w="863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4"/>
        <w:gridCol w:w="4494"/>
        <w:gridCol w:w="30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6" w:hRule="atLeast"/>
          <w:jc w:val="center"/>
        </w:trPr>
        <w:tc>
          <w:tcPr>
            <w:tcW w:w="1064" w:type="dxa"/>
            <w:tcBorders>
              <w:tl2br w:val="single" w:color="auto" w:sz="4" w:space="0"/>
            </w:tcBorders>
            <w:vAlign w:val="center"/>
          </w:tcPr>
          <w:p>
            <w:pPr>
              <w:ind w:right="210"/>
              <w:jc w:val="right"/>
              <w:rPr>
                <w:rFonts w:hint="eastAsia" w:ascii="仿宋" w:hAnsi="仿宋" w:eastAsia="仿宋" w:cs="仿宋"/>
                <w:b/>
                <w:color w:val="000000"/>
                <w:szCs w:val="21"/>
              </w:rPr>
            </w:pPr>
            <w:r>
              <w:rPr>
                <w:rFonts w:hint="eastAsia" w:ascii="仿宋" w:hAnsi="仿宋" w:eastAsia="仿宋" w:cs="仿宋"/>
                <w:b/>
                <w:color w:val="000000"/>
                <w:szCs w:val="21"/>
              </w:rPr>
              <w:t>等级</w:t>
            </w:r>
          </w:p>
          <w:p>
            <w:pPr>
              <w:jc w:val="right"/>
              <w:rPr>
                <w:rFonts w:hint="eastAsia" w:ascii="仿宋" w:hAnsi="仿宋" w:eastAsia="仿宋" w:cs="仿宋"/>
                <w:b/>
                <w:color w:val="000000"/>
                <w:szCs w:val="21"/>
              </w:rPr>
            </w:pPr>
            <w:r>
              <w:rPr>
                <w:rFonts w:hint="eastAsia" w:ascii="仿宋" w:hAnsi="仿宋" w:eastAsia="仿宋" w:cs="仿宋"/>
                <w:color w:val="000000"/>
                <w:szCs w:val="21"/>
              </w:rPr>
              <w:t xml:space="preserve"> </w:t>
            </w:r>
            <w:r>
              <w:rPr>
                <w:rFonts w:hint="eastAsia" w:ascii="仿宋" w:hAnsi="仿宋" w:eastAsia="仿宋" w:cs="仿宋"/>
                <w:b/>
                <w:color w:val="000000"/>
                <w:szCs w:val="21"/>
              </w:rPr>
              <w:t>内容</w:t>
            </w:r>
          </w:p>
          <w:p>
            <w:pPr>
              <w:rPr>
                <w:rFonts w:hint="eastAsia" w:ascii="仿宋" w:hAnsi="仿宋" w:eastAsia="仿宋" w:cs="仿宋"/>
                <w:b/>
                <w:color w:val="000000"/>
                <w:szCs w:val="21"/>
              </w:rPr>
            </w:pPr>
            <w:r>
              <w:rPr>
                <w:rFonts w:hint="eastAsia" w:ascii="仿宋" w:hAnsi="仿宋" w:eastAsia="仿宋" w:cs="仿宋"/>
                <w:b/>
                <w:color w:val="000000"/>
                <w:szCs w:val="21"/>
              </w:rPr>
              <w:t>类别</w:t>
            </w:r>
          </w:p>
        </w:tc>
        <w:tc>
          <w:tcPr>
            <w:tcW w:w="4494" w:type="dxa"/>
            <w:vAlign w:val="center"/>
          </w:tcPr>
          <w:p>
            <w:pPr>
              <w:jc w:val="center"/>
              <w:rPr>
                <w:rFonts w:hint="eastAsia" w:ascii="仿宋" w:hAnsi="仿宋" w:eastAsia="仿宋" w:cs="仿宋"/>
                <w:b/>
                <w:color w:val="000000"/>
                <w:szCs w:val="21"/>
              </w:rPr>
            </w:pPr>
            <w:r>
              <w:rPr>
                <w:rFonts w:hint="eastAsia" w:ascii="仿宋" w:hAnsi="仿宋" w:eastAsia="仿宋" w:cs="仿宋"/>
                <w:b/>
                <w:color w:val="000000"/>
                <w:szCs w:val="21"/>
              </w:rPr>
              <w:t>一般教学事故</w:t>
            </w:r>
          </w:p>
        </w:tc>
        <w:tc>
          <w:tcPr>
            <w:tcW w:w="3079" w:type="dxa"/>
            <w:vAlign w:val="center"/>
          </w:tcPr>
          <w:p>
            <w:pPr>
              <w:jc w:val="center"/>
              <w:rPr>
                <w:rFonts w:hint="eastAsia" w:ascii="仿宋" w:hAnsi="仿宋" w:eastAsia="仿宋" w:cs="仿宋"/>
                <w:b/>
                <w:color w:val="000000"/>
                <w:szCs w:val="21"/>
              </w:rPr>
            </w:pPr>
            <w:r>
              <w:rPr>
                <w:rFonts w:hint="eastAsia" w:ascii="仿宋" w:hAnsi="仿宋" w:eastAsia="仿宋" w:cs="仿宋"/>
                <w:b/>
                <w:color w:val="000000"/>
                <w:szCs w:val="21"/>
              </w:rPr>
              <w:t>严重教学事故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1" w:hRule="atLeast"/>
          <w:jc w:val="center"/>
        </w:trPr>
        <w:tc>
          <w:tcPr>
            <w:tcW w:w="1064" w:type="dxa"/>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教 学</w:t>
            </w:r>
          </w:p>
          <w:p>
            <w:pPr>
              <w:jc w:val="center"/>
              <w:rPr>
                <w:rFonts w:hint="eastAsia" w:ascii="仿宋" w:hAnsi="仿宋" w:eastAsia="仿宋" w:cs="仿宋"/>
                <w:color w:val="000000"/>
                <w:szCs w:val="21"/>
              </w:rPr>
            </w:pPr>
          </w:p>
          <w:p>
            <w:pPr>
              <w:jc w:val="center"/>
              <w:rPr>
                <w:rFonts w:hint="eastAsia" w:ascii="仿宋" w:hAnsi="仿宋" w:eastAsia="仿宋" w:cs="仿宋"/>
                <w:color w:val="000000"/>
                <w:szCs w:val="21"/>
              </w:rPr>
            </w:pPr>
            <w:r>
              <w:rPr>
                <w:rFonts w:hint="eastAsia" w:ascii="仿宋" w:hAnsi="仿宋" w:eastAsia="仿宋" w:cs="仿宋"/>
                <w:color w:val="000000"/>
                <w:szCs w:val="21"/>
              </w:rPr>
              <w:t>工 作</w:t>
            </w:r>
          </w:p>
        </w:tc>
        <w:tc>
          <w:tcPr>
            <w:tcW w:w="4494" w:type="dxa"/>
          </w:tcPr>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1.未经所属教学单位和教学主管部门同意，并未办理有关手续，教师擅自变动上课时间和地点；</w:t>
            </w:r>
          </w:p>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2.教师上课迟到（班车原因除外）或提前下课5分钟以内(含5分钟)；</w:t>
            </w:r>
          </w:p>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3.指导教师、联系教师擅自改变实践教学计划的安排；</w:t>
            </w:r>
          </w:p>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4.实习期间，带队教师擅自离开工作岗位三天以内(含三天)的；</w:t>
            </w:r>
          </w:p>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5.指导教师、联系教师违反实践单位安全保密规定；</w:t>
            </w:r>
          </w:p>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6．指导教师对学生毕业实习报告出现抄袭现象不予制止的；</w:t>
            </w:r>
          </w:p>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7．二级学院或教师擅自提前进行毕业实习答辩或答辩未按学校的有关规定进行的；</w:t>
            </w:r>
          </w:p>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8．二级学院或教师违反毕业实习报告的评分标准，提高或压低学生成绩的；</w:t>
            </w:r>
          </w:p>
          <w:p>
            <w:pPr>
              <w:spacing w:line="270" w:lineRule="exact"/>
              <w:rPr>
                <w:rFonts w:hint="eastAsia" w:ascii="仿宋" w:hAnsi="仿宋" w:eastAsia="仿宋" w:cs="仿宋"/>
                <w:color w:val="000000"/>
                <w:kern w:val="0"/>
                <w:szCs w:val="21"/>
              </w:rPr>
            </w:pPr>
            <w:r>
              <w:rPr>
                <w:rFonts w:hint="eastAsia" w:ascii="仿宋" w:hAnsi="仿宋" w:eastAsia="仿宋" w:cs="仿宋"/>
                <w:color w:val="000000"/>
                <w:kern w:val="0"/>
                <w:szCs w:val="21"/>
              </w:rPr>
              <w:t>9.成绩评定错误、不在规定时间录入、发布；</w:t>
            </w:r>
          </w:p>
          <w:p>
            <w:pPr>
              <w:spacing w:line="270" w:lineRule="exact"/>
              <w:rPr>
                <w:rFonts w:hint="eastAsia" w:ascii="仿宋" w:hAnsi="仿宋" w:eastAsia="仿宋" w:cs="仿宋"/>
                <w:color w:val="000000"/>
                <w:szCs w:val="21"/>
              </w:rPr>
            </w:pPr>
            <w:r>
              <w:rPr>
                <w:rFonts w:hint="eastAsia" w:ascii="仿宋" w:hAnsi="仿宋" w:eastAsia="仿宋" w:cs="仿宋"/>
                <w:color w:val="000000"/>
                <w:kern w:val="0"/>
                <w:szCs w:val="21"/>
              </w:rPr>
              <w:t>10.课堂教学和监考工作中接打电话、浏览信息等。</w:t>
            </w:r>
          </w:p>
        </w:tc>
        <w:tc>
          <w:tcPr>
            <w:tcW w:w="3079" w:type="dxa"/>
          </w:tcPr>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1.教师缺课或未经所属教学单位和教学主管部门同意，并未办理有关手续，而擅自停课或找人代课；</w:t>
            </w:r>
          </w:p>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2.教师上课迟到（班车原因除外）或提前下课5分钟以上；</w:t>
            </w:r>
          </w:p>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3.教师在课堂上传播违反法律、</w:t>
            </w:r>
            <w:r>
              <w:rPr>
                <w:rFonts w:hint="eastAsia" w:ascii="仿宋" w:hAnsi="仿宋" w:eastAsia="仿宋" w:cs="仿宋"/>
                <w:color w:val="000000"/>
                <w:kern w:val="0"/>
              </w:rPr>
              <w:t>党和国家方针政策</w:t>
            </w:r>
            <w:r>
              <w:rPr>
                <w:rFonts w:hint="eastAsia" w:ascii="仿宋" w:hAnsi="仿宋" w:eastAsia="仿宋" w:cs="仿宋"/>
                <w:color w:val="000000"/>
                <w:szCs w:val="21"/>
              </w:rPr>
              <w:t>的内容或言论；</w:t>
            </w:r>
          </w:p>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4.教师辱骂学生情节严重或体罚学生的；</w:t>
            </w:r>
          </w:p>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5.指导教师、联系教师擅自缩短实践教学时间达一周以上；</w:t>
            </w:r>
          </w:p>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6.实习期间，带队教师擅自离开工作岗位超过三天的；</w:t>
            </w:r>
          </w:p>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7.指导教师、联系教师严重违反实践单位安全保密规定的。</w:t>
            </w:r>
          </w:p>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8.</w:t>
            </w:r>
            <w:r>
              <w:rPr>
                <w:rFonts w:hint="eastAsia" w:ascii="仿宋" w:hAnsi="仿宋" w:eastAsia="仿宋" w:cs="仿宋"/>
                <w:color w:val="000000"/>
                <w:kern w:val="0"/>
                <w:szCs w:val="21"/>
              </w:rPr>
              <w:t>成绩评定弄虚作假。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064" w:type="dxa"/>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考 试</w:t>
            </w:r>
          </w:p>
          <w:p>
            <w:pPr>
              <w:jc w:val="center"/>
              <w:rPr>
                <w:rFonts w:hint="eastAsia" w:ascii="仿宋" w:hAnsi="仿宋" w:eastAsia="仿宋" w:cs="仿宋"/>
                <w:color w:val="000000"/>
                <w:szCs w:val="21"/>
              </w:rPr>
            </w:pPr>
          </w:p>
          <w:p>
            <w:pPr>
              <w:jc w:val="center"/>
              <w:rPr>
                <w:rFonts w:hint="eastAsia" w:ascii="仿宋" w:hAnsi="仿宋" w:eastAsia="仿宋" w:cs="仿宋"/>
                <w:color w:val="000000"/>
                <w:szCs w:val="21"/>
              </w:rPr>
            </w:pPr>
            <w:r>
              <w:rPr>
                <w:rFonts w:hint="eastAsia" w:ascii="仿宋" w:hAnsi="仿宋" w:eastAsia="仿宋" w:cs="仿宋"/>
                <w:color w:val="000000"/>
                <w:szCs w:val="21"/>
              </w:rPr>
              <w:t>工 作</w:t>
            </w:r>
          </w:p>
        </w:tc>
        <w:tc>
          <w:tcPr>
            <w:tcW w:w="4494" w:type="dxa"/>
          </w:tcPr>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1．教师命题或试卷印制过程中出现差错而未在考试前改正，影响学生正常考试的；</w:t>
            </w:r>
          </w:p>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2.主、监考教师迟到或考试中擅离考场的；</w:t>
            </w:r>
          </w:p>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3.主、监考教师监考不力，对学生作弊不予制止的；</w:t>
            </w:r>
          </w:p>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4．教师未在学校规定时间内完成试卷评阅或未按规定时间或规定格式报送成绩的。</w:t>
            </w:r>
          </w:p>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5.教师未经所属教学单位和教学主管部门同意，并未办理有关手续，而擅自找人代监考的。</w:t>
            </w:r>
          </w:p>
        </w:tc>
        <w:tc>
          <w:tcPr>
            <w:tcW w:w="3079" w:type="dxa"/>
          </w:tcPr>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1.泄漏考试内容，或在试卷印制、传送、保管过程中泄密的；</w:t>
            </w:r>
          </w:p>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2.主、监考教师未到考场；</w:t>
            </w:r>
          </w:p>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3.现场发现未准备好足够数量的试卷，或试题严重出错等致使考试混乱或无法进行的；</w:t>
            </w:r>
          </w:p>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4.主、监考教师监考不力，致使学生大面积作弊或考场秩序混乱的；</w:t>
            </w:r>
          </w:p>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5.考试结束后，漏收或丢失考生试卷的；</w:t>
            </w:r>
          </w:p>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6.教师故意提高或压低学生考试成绩的。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064" w:type="dxa"/>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教 学</w:t>
            </w:r>
          </w:p>
          <w:p>
            <w:pPr>
              <w:jc w:val="center"/>
              <w:rPr>
                <w:rFonts w:hint="eastAsia" w:ascii="仿宋" w:hAnsi="仿宋" w:eastAsia="仿宋" w:cs="仿宋"/>
                <w:color w:val="000000"/>
                <w:szCs w:val="21"/>
              </w:rPr>
            </w:pPr>
          </w:p>
          <w:p>
            <w:pPr>
              <w:jc w:val="center"/>
              <w:rPr>
                <w:rFonts w:hint="eastAsia" w:ascii="仿宋" w:hAnsi="仿宋" w:eastAsia="仿宋" w:cs="仿宋"/>
                <w:color w:val="000000"/>
                <w:szCs w:val="21"/>
              </w:rPr>
            </w:pPr>
            <w:r>
              <w:rPr>
                <w:rFonts w:hint="eastAsia" w:ascii="仿宋" w:hAnsi="仿宋" w:eastAsia="仿宋" w:cs="仿宋"/>
                <w:color w:val="000000"/>
                <w:szCs w:val="21"/>
              </w:rPr>
              <w:t>管 理</w:t>
            </w:r>
          </w:p>
        </w:tc>
        <w:tc>
          <w:tcPr>
            <w:tcW w:w="4494" w:type="dxa"/>
          </w:tcPr>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1．管理人员排课或教室调度安排发生失误，影响正常教学秩序的；</w:t>
            </w:r>
          </w:p>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2.未经主管部门同意，擅自使用教室或其他教学设施而影响正常教学的；</w:t>
            </w:r>
          </w:p>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3.教师已事前请假，而受理者未及时作相应安排，造成教学秩序混乱的；</w:t>
            </w:r>
          </w:p>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4.管理人员考试组织工作(含考场、主监考人员安排)发生失误，影响考试正常进行；</w:t>
            </w:r>
          </w:p>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5．二级学院管理人员未按规定及时登录学生成绩或未及时通知学生家长的。</w:t>
            </w:r>
          </w:p>
        </w:tc>
        <w:tc>
          <w:tcPr>
            <w:tcW w:w="3079" w:type="dxa"/>
          </w:tcPr>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1.管理人员丢失在校生考试成绩而无法弥补；</w:t>
            </w:r>
          </w:p>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2.管理人员或教师填写呈报学生学习成绩时弄虚作假；</w:t>
            </w:r>
          </w:p>
          <w:p>
            <w:pPr>
              <w:spacing w:line="270" w:lineRule="exact"/>
              <w:rPr>
                <w:rFonts w:hint="eastAsia" w:ascii="仿宋" w:hAnsi="仿宋" w:eastAsia="仿宋" w:cs="仿宋"/>
                <w:color w:val="000000"/>
                <w:szCs w:val="21"/>
              </w:rPr>
            </w:pPr>
            <w:r>
              <w:rPr>
                <w:rFonts w:hint="eastAsia" w:ascii="仿宋" w:hAnsi="仿宋" w:eastAsia="仿宋" w:cs="仿宋"/>
                <w:color w:val="000000"/>
                <w:szCs w:val="21"/>
              </w:rPr>
              <w:t>3.管理人员出具与事实不符的学历、学籍、成绩等各类证书、证明等。</w:t>
            </w:r>
          </w:p>
        </w:tc>
      </w:tr>
    </w:tbl>
    <w:p>
      <w:pPr>
        <w:rPr>
          <w:rFonts w:hint="eastAsia" w:ascii="仿宋" w:hAnsi="仿宋" w:eastAsia="仿宋" w:cs="仿宋"/>
          <w:color w:val="000000"/>
          <w:sz w:val="24"/>
        </w:rPr>
      </w:pPr>
      <w:r>
        <w:rPr>
          <w:rFonts w:hint="eastAsia" w:ascii="仿宋" w:hAnsi="仿宋" w:eastAsia="仿宋" w:cs="仿宋"/>
          <w:color w:val="000000"/>
          <w:sz w:val="24"/>
        </w:rPr>
        <w:br w:type="page"/>
      </w:r>
      <w:r>
        <w:rPr>
          <w:rFonts w:hint="eastAsia" w:ascii="仿宋" w:hAnsi="仿宋" w:eastAsia="仿宋" w:cs="仿宋"/>
          <w:color w:val="000000"/>
          <w:sz w:val="24"/>
        </w:rPr>
        <w:t>附件2</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上海电子信息职业技术学院教学事故认定审批表</w:t>
      </w:r>
    </w:p>
    <w:p>
      <w:pPr>
        <w:rPr>
          <w:rFonts w:hint="eastAsia" w:ascii="仿宋" w:hAnsi="仿宋" w:eastAsia="仿宋" w:cs="仿宋"/>
          <w:color w:val="000000"/>
          <w:szCs w:val="21"/>
        </w:rPr>
      </w:pPr>
    </w:p>
    <w:tbl>
      <w:tblPr>
        <w:tblStyle w:val="4"/>
        <w:tblW w:w="930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6"/>
        <w:gridCol w:w="1296"/>
        <w:gridCol w:w="972"/>
        <w:gridCol w:w="2268"/>
        <w:gridCol w:w="1296"/>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56" w:type="dxa"/>
            <w:tcBorders>
              <w:top w:val="single" w:color="auto" w:sz="8" w:space="0"/>
              <w:left w:val="single" w:color="auto" w:sz="8" w:space="0"/>
              <w:bottom w:val="single" w:color="auto" w:sz="4" w:space="0"/>
            </w:tcBorders>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当事人</w:t>
            </w:r>
          </w:p>
          <w:p>
            <w:pPr>
              <w:jc w:val="center"/>
              <w:rPr>
                <w:rFonts w:hint="eastAsia" w:ascii="仿宋" w:hAnsi="仿宋" w:eastAsia="仿宋" w:cs="仿宋"/>
                <w:color w:val="000000"/>
                <w:szCs w:val="21"/>
              </w:rPr>
            </w:pPr>
            <w:r>
              <w:rPr>
                <w:rFonts w:hint="eastAsia" w:ascii="仿宋" w:hAnsi="仿宋" w:eastAsia="仿宋" w:cs="仿宋"/>
                <w:color w:val="000000"/>
                <w:szCs w:val="21"/>
              </w:rPr>
              <w:t>姓  名</w:t>
            </w:r>
          </w:p>
        </w:tc>
        <w:tc>
          <w:tcPr>
            <w:tcW w:w="1296" w:type="dxa"/>
            <w:tcBorders>
              <w:top w:val="single" w:color="auto" w:sz="8" w:space="0"/>
              <w:bottom w:val="single" w:color="auto" w:sz="4" w:space="0"/>
            </w:tcBorders>
            <w:vAlign w:val="center"/>
          </w:tcPr>
          <w:p>
            <w:pPr>
              <w:rPr>
                <w:rFonts w:hint="eastAsia" w:ascii="仿宋" w:hAnsi="仿宋" w:eastAsia="仿宋" w:cs="仿宋"/>
                <w:color w:val="000000"/>
                <w:szCs w:val="21"/>
              </w:rPr>
            </w:pPr>
          </w:p>
        </w:tc>
        <w:tc>
          <w:tcPr>
            <w:tcW w:w="972" w:type="dxa"/>
            <w:tcBorders>
              <w:top w:val="single" w:color="auto" w:sz="8" w:space="0"/>
              <w:bottom w:val="single" w:color="auto" w:sz="4" w:space="0"/>
            </w:tcBorders>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当事人</w:t>
            </w:r>
          </w:p>
          <w:p>
            <w:pPr>
              <w:jc w:val="center"/>
              <w:rPr>
                <w:rFonts w:hint="eastAsia" w:ascii="仿宋" w:hAnsi="仿宋" w:eastAsia="仿宋" w:cs="仿宋"/>
                <w:color w:val="000000"/>
                <w:szCs w:val="21"/>
              </w:rPr>
            </w:pPr>
            <w:r>
              <w:rPr>
                <w:rFonts w:hint="eastAsia" w:ascii="仿宋" w:hAnsi="仿宋" w:eastAsia="仿宋" w:cs="仿宋"/>
                <w:color w:val="000000"/>
                <w:szCs w:val="21"/>
              </w:rPr>
              <w:t>单  位</w:t>
            </w:r>
          </w:p>
        </w:tc>
        <w:tc>
          <w:tcPr>
            <w:tcW w:w="2268" w:type="dxa"/>
            <w:tcBorders>
              <w:top w:val="single" w:color="auto" w:sz="8" w:space="0"/>
              <w:bottom w:val="single" w:color="auto" w:sz="4" w:space="0"/>
            </w:tcBorders>
            <w:vAlign w:val="center"/>
          </w:tcPr>
          <w:p>
            <w:pPr>
              <w:rPr>
                <w:rFonts w:hint="eastAsia" w:ascii="仿宋" w:hAnsi="仿宋" w:eastAsia="仿宋" w:cs="仿宋"/>
                <w:color w:val="000000"/>
                <w:szCs w:val="21"/>
              </w:rPr>
            </w:pPr>
          </w:p>
        </w:tc>
        <w:tc>
          <w:tcPr>
            <w:tcW w:w="1296" w:type="dxa"/>
            <w:tcBorders>
              <w:top w:val="single" w:color="auto" w:sz="8" w:space="0"/>
              <w:bottom w:val="single" w:color="auto" w:sz="4" w:space="0"/>
            </w:tcBorders>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当事人专业技术职务</w:t>
            </w:r>
          </w:p>
        </w:tc>
        <w:tc>
          <w:tcPr>
            <w:tcW w:w="1620" w:type="dxa"/>
            <w:tcBorders>
              <w:top w:val="single" w:color="auto" w:sz="8" w:space="0"/>
              <w:bottom w:val="single" w:color="auto" w:sz="4" w:space="0"/>
              <w:right w:val="single" w:color="auto" w:sz="8" w:space="0"/>
            </w:tcBorders>
            <w:vAlign w:val="center"/>
          </w:tcPr>
          <w:p>
            <w:pP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893" w:hRule="atLeast"/>
          <w:jc w:val="center"/>
        </w:trPr>
        <w:tc>
          <w:tcPr>
            <w:tcW w:w="1856" w:type="dxa"/>
            <w:tcBorders>
              <w:left w:val="single" w:color="auto" w:sz="8" w:space="0"/>
              <w:bottom w:val="single" w:color="auto" w:sz="4" w:space="0"/>
            </w:tcBorders>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教学事故</w:t>
            </w:r>
          </w:p>
          <w:p>
            <w:pPr>
              <w:jc w:val="center"/>
              <w:rPr>
                <w:rFonts w:hint="eastAsia" w:ascii="仿宋" w:hAnsi="仿宋" w:eastAsia="仿宋" w:cs="仿宋"/>
                <w:color w:val="000000"/>
                <w:szCs w:val="21"/>
              </w:rPr>
            </w:pPr>
            <w:r>
              <w:rPr>
                <w:rFonts w:hint="eastAsia" w:ascii="仿宋" w:hAnsi="仿宋" w:eastAsia="仿宋" w:cs="仿宋"/>
                <w:color w:val="000000"/>
                <w:szCs w:val="21"/>
              </w:rPr>
              <w:t>具体内容</w:t>
            </w:r>
          </w:p>
        </w:tc>
        <w:tc>
          <w:tcPr>
            <w:tcW w:w="7452" w:type="dxa"/>
            <w:gridSpan w:val="5"/>
            <w:tcBorders>
              <w:bottom w:val="single" w:color="auto" w:sz="4" w:space="0"/>
              <w:right w:val="single" w:color="auto" w:sz="8" w:space="0"/>
            </w:tcBorders>
            <w:vAlign w:val="center"/>
          </w:tcPr>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ind w:right="420" w:firstLine="4620" w:firstLineChars="2200"/>
              <w:rPr>
                <w:rFonts w:hint="eastAsia" w:ascii="仿宋" w:hAnsi="仿宋" w:eastAsia="仿宋" w:cs="仿宋"/>
                <w:color w:val="000000"/>
                <w:szCs w:val="21"/>
              </w:rPr>
            </w:pPr>
            <w:r>
              <w:rPr>
                <w:rFonts w:hint="eastAsia" w:ascii="仿宋" w:hAnsi="仿宋" w:eastAsia="仿宋" w:cs="仿宋"/>
                <w:color w:val="000000"/>
                <w:szCs w:val="21"/>
              </w:rPr>
              <w:t>签 名：</w:t>
            </w:r>
          </w:p>
          <w:p>
            <w:pPr>
              <w:ind w:firstLine="5250" w:firstLineChars="2500"/>
              <w:rPr>
                <w:rFonts w:hint="eastAsia" w:ascii="仿宋" w:hAnsi="仿宋" w:eastAsia="仿宋" w:cs="仿宋"/>
                <w:color w:val="000000"/>
                <w:szCs w:val="21"/>
              </w:rPr>
            </w:pPr>
            <w:r>
              <w:rPr>
                <w:rFonts w:hint="eastAsia" w:ascii="仿宋" w:hAnsi="仿宋" w:eastAsia="仿宋" w:cs="仿宋"/>
                <w:color w:val="000000"/>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3" w:hRule="atLeast"/>
          <w:jc w:val="center"/>
        </w:trPr>
        <w:tc>
          <w:tcPr>
            <w:tcW w:w="1856" w:type="dxa"/>
            <w:tcBorders>
              <w:left w:val="single" w:color="auto" w:sz="8" w:space="0"/>
            </w:tcBorders>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当事人单位意见(含教学事故认定等级)</w:t>
            </w:r>
          </w:p>
        </w:tc>
        <w:tc>
          <w:tcPr>
            <w:tcW w:w="7452" w:type="dxa"/>
            <w:gridSpan w:val="5"/>
            <w:tcBorders>
              <w:bottom w:val="single" w:color="auto" w:sz="4" w:space="0"/>
              <w:right w:val="single" w:color="auto" w:sz="8" w:space="0"/>
            </w:tcBorders>
          </w:tcPr>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ind w:firstLine="4305" w:firstLineChars="2050"/>
              <w:rPr>
                <w:rFonts w:hint="eastAsia" w:ascii="仿宋" w:hAnsi="仿宋" w:eastAsia="仿宋" w:cs="仿宋"/>
                <w:color w:val="000000"/>
                <w:szCs w:val="21"/>
              </w:rPr>
            </w:pPr>
            <w:r>
              <w:rPr>
                <w:rFonts w:hint="eastAsia" w:ascii="仿宋" w:hAnsi="仿宋" w:eastAsia="仿宋" w:cs="仿宋"/>
                <w:color w:val="000000"/>
                <w:szCs w:val="21"/>
              </w:rPr>
              <w:t>负责人签名：</w:t>
            </w:r>
          </w:p>
          <w:p>
            <w:pPr>
              <w:ind w:firstLine="5250" w:firstLineChars="2500"/>
              <w:rPr>
                <w:rFonts w:hint="eastAsia" w:ascii="仿宋" w:hAnsi="仿宋" w:eastAsia="仿宋" w:cs="仿宋"/>
                <w:color w:val="000000"/>
                <w:szCs w:val="21"/>
              </w:rPr>
            </w:pPr>
            <w:r>
              <w:rPr>
                <w:rFonts w:hint="eastAsia" w:ascii="仿宋" w:hAnsi="仿宋" w:eastAsia="仿宋" w:cs="仿宋"/>
                <w:color w:val="000000"/>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8" w:hRule="atLeast"/>
          <w:jc w:val="center"/>
        </w:trPr>
        <w:tc>
          <w:tcPr>
            <w:tcW w:w="1856" w:type="dxa"/>
            <w:tcBorders>
              <w:left w:val="single" w:color="auto" w:sz="8" w:space="0"/>
              <w:bottom w:val="single" w:color="auto" w:sz="4" w:space="0"/>
            </w:tcBorders>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教学主管</w:t>
            </w:r>
          </w:p>
          <w:p>
            <w:pPr>
              <w:jc w:val="center"/>
              <w:rPr>
                <w:rFonts w:hint="eastAsia" w:ascii="仿宋" w:hAnsi="仿宋" w:eastAsia="仿宋" w:cs="仿宋"/>
                <w:color w:val="000000"/>
                <w:szCs w:val="21"/>
              </w:rPr>
            </w:pPr>
            <w:r>
              <w:rPr>
                <w:rFonts w:hint="eastAsia" w:ascii="仿宋" w:hAnsi="仿宋" w:eastAsia="仿宋" w:cs="仿宋"/>
                <w:color w:val="000000"/>
                <w:szCs w:val="21"/>
              </w:rPr>
              <w:t>部门意见</w:t>
            </w:r>
          </w:p>
        </w:tc>
        <w:tc>
          <w:tcPr>
            <w:tcW w:w="7452" w:type="dxa"/>
            <w:gridSpan w:val="5"/>
            <w:tcBorders>
              <w:bottom w:val="single" w:color="auto" w:sz="4" w:space="0"/>
              <w:right w:val="single" w:color="auto" w:sz="8" w:space="0"/>
            </w:tcBorders>
          </w:tcPr>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tabs>
                <w:tab w:val="left" w:pos="4940"/>
              </w:tabs>
              <w:ind w:firstLine="4305" w:firstLineChars="2050"/>
              <w:rPr>
                <w:rFonts w:hint="eastAsia" w:ascii="仿宋" w:hAnsi="仿宋" w:eastAsia="仿宋" w:cs="仿宋"/>
                <w:color w:val="000000"/>
                <w:szCs w:val="21"/>
              </w:rPr>
            </w:pPr>
            <w:r>
              <w:rPr>
                <w:rFonts w:hint="eastAsia" w:ascii="仿宋" w:hAnsi="仿宋" w:eastAsia="仿宋" w:cs="仿宋"/>
                <w:color w:val="000000"/>
                <w:szCs w:val="21"/>
              </w:rPr>
              <w:t>负责人签名：</w:t>
            </w:r>
          </w:p>
          <w:p>
            <w:pPr>
              <w:rPr>
                <w:rFonts w:hint="eastAsia" w:ascii="仿宋" w:hAnsi="仿宋" w:eastAsia="仿宋" w:cs="仿宋"/>
                <w:color w:val="000000"/>
                <w:szCs w:val="21"/>
              </w:rPr>
            </w:pPr>
            <w:r>
              <w:rPr>
                <w:rFonts w:hint="eastAsia" w:ascii="仿宋" w:hAnsi="仿宋" w:eastAsia="仿宋" w:cs="仿宋"/>
                <w:color w:val="000000"/>
                <w:szCs w:val="21"/>
              </w:rPr>
              <w:t>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6" w:hRule="atLeast"/>
          <w:jc w:val="center"/>
        </w:trPr>
        <w:tc>
          <w:tcPr>
            <w:tcW w:w="1856" w:type="dxa"/>
            <w:tcBorders>
              <w:left w:val="single" w:color="auto" w:sz="8" w:space="0"/>
              <w:bottom w:val="single" w:color="auto" w:sz="8" w:space="0"/>
            </w:tcBorders>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校 领 导</w:t>
            </w:r>
          </w:p>
          <w:p>
            <w:pPr>
              <w:jc w:val="center"/>
              <w:rPr>
                <w:rFonts w:hint="eastAsia" w:ascii="仿宋" w:hAnsi="仿宋" w:eastAsia="仿宋" w:cs="仿宋"/>
                <w:color w:val="000000"/>
                <w:szCs w:val="21"/>
              </w:rPr>
            </w:pPr>
            <w:r>
              <w:rPr>
                <w:rFonts w:hint="eastAsia" w:ascii="仿宋" w:hAnsi="仿宋" w:eastAsia="仿宋" w:cs="仿宋"/>
                <w:color w:val="000000"/>
                <w:szCs w:val="21"/>
              </w:rPr>
              <w:t>审批意见</w:t>
            </w:r>
          </w:p>
        </w:tc>
        <w:tc>
          <w:tcPr>
            <w:tcW w:w="7452" w:type="dxa"/>
            <w:gridSpan w:val="5"/>
            <w:tcBorders>
              <w:bottom w:val="single" w:color="auto" w:sz="8" w:space="0"/>
              <w:right w:val="single" w:color="auto" w:sz="8" w:space="0"/>
            </w:tcBorders>
          </w:tcPr>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ind w:firstLine="4305" w:firstLineChars="2050"/>
              <w:rPr>
                <w:rFonts w:hint="eastAsia" w:ascii="仿宋" w:hAnsi="仿宋" w:eastAsia="仿宋" w:cs="仿宋"/>
                <w:color w:val="000000"/>
                <w:szCs w:val="21"/>
              </w:rPr>
            </w:pPr>
            <w:r>
              <w:rPr>
                <w:rFonts w:hint="eastAsia" w:ascii="仿宋" w:hAnsi="仿宋" w:eastAsia="仿宋" w:cs="仿宋"/>
                <w:color w:val="000000"/>
                <w:szCs w:val="21"/>
              </w:rPr>
              <w:t>校领导签名：</w:t>
            </w:r>
          </w:p>
          <w:p>
            <w:pPr>
              <w:ind w:firstLine="5250" w:firstLineChars="2500"/>
              <w:rPr>
                <w:rFonts w:hint="eastAsia" w:ascii="仿宋" w:hAnsi="仿宋" w:eastAsia="仿宋" w:cs="仿宋"/>
                <w:color w:val="000000"/>
                <w:szCs w:val="21"/>
              </w:rPr>
            </w:pPr>
            <w:r>
              <w:rPr>
                <w:rFonts w:hint="eastAsia" w:ascii="仿宋" w:hAnsi="仿宋" w:eastAsia="仿宋" w:cs="仿宋"/>
                <w:color w:val="000000"/>
                <w:szCs w:val="21"/>
              </w:rPr>
              <w:t>年    月    日</w:t>
            </w:r>
          </w:p>
        </w:tc>
      </w:tr>
    </w:tbl>
    <w:p>
      <w:pPr>
        <w:pStyle w:val="2"/>
        <w:widowControl w:val="0"/>
        <w:tabs>
          <w:tab w:val="left" w:pos="5925"/>
        </w:tabs>
        <w:spacing w:before="0" w:beforeAutospacing="0" w:after="0" w:afterAutospacing="0" w:line="240" w:lineRule="exact"/>
        <w:rPr>
          <w:rFonts w:hint="eastAsia" w:ascii="仿宋" w:hAnsi="仿宋" w:eastAsia="仿宋" w:cs="仿宋"/>
          <w:sz w:val="21"/>
        </w:rPr>
      </w:pPr>
    </w:p>
    <w:p>
      <w:pPr>
        <w:rPr>
          <w:rFonts w:hint="eastAsia" w:ascii="仿宋" w:hAnsi="仿宋" w:eastAsia="仿宋" w:cs="仿宋"/>
          <w:color w:val="000000"/>
          <w:szCs w:val="21"/>
        </w:rPr>
      </w:pPr>
      <w:r>
        <w:rPr>
          <w:rFonts w:hint="eastAsia" w:ascii="仿宋" w:hAnsi="仿宋" w:eastAsia="仿宋" w:cs="仿宋"/>
          <w:color w:val="000000"/>
          <w:szCs w:val="21"/>
        </w:rPr>
        <w:t>备注：1.本表一式三份，一份教学主管部门存档，一份当事人所在单位存档，一份归入本人业务档案；</w:t>
      </w:r>
    </w:p>
    <w:p>
      <w:pPr>
        <w:numPr>
          <w:ilvl w:val="0"/>
          <w:numId w:val="1"/>
        </w:numPr>
        <w:ind w:firstLine="630" w:firstLineChars="300"/>
        <w:rPr>
          <w:rFonts w:hint="eastAsia" w:ascii="仿宋" w:hAnsi="仿宋" w:eastAsia="仿宋" w:cs="仿宋"/>
          <w:color w:val="000000"/>
          <w:szCs w:val="21"/>
        </w:rPr>
      </w:pPr>
      <w:r>
        <w:rPr>
          <w:rFonts w:hint="eastAsia" w:ascii="仿宋" w:hAnsi="仿宋" w:eastAsia="仿宋" w:cs="仿宋"/>
          <w:color w:val="000000"/>
          <w:szCs w:val="21"/>
        </w:rPr>
        <w:t>“教学事故具体内容”栏内可简要填写，详情可用附件说明。</w:t>
      </w: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widowControl w:val="0"/>
        <w:numPr>
          <w:numId w:val="0"/>
        </w:numPr>
        <w:jc w:val="both"/>
        <w:rPr>
          <w:rFonts w:hint="eastAsia" w:ascii="仿宋" w:hAnsi="仿宋" w:eastAsia="仿宋" w:cs="仿宋"/>
          <w:color w:val="000000"/>
          <w:szCs w:val="21"/>
        </w:rPr>
      </w:pPr>
    </w:p>
    <w:p>
      <w:pPr>
        <w:spacing w:line="560" w:lineRule="exact"/>
        <w:ind w:right="300"/>
        <w:jc w:val="both"/>
        <w:rPr>
          <w:rFonts w:hint="eastAsia" w:ascii="Times New Roman" w:hAnsi="Times New Roman" w:eastAsia="仿宋_GB2312"/>
          <w:sz w:val="30"/>
          <w:szCs w:val="30"/>
        </w:rPr>
      </w:pPr>
    </w:p>
    <w:p>
      <w:pPr>
        <w:ind w:right="-874" w:rightChars="-416"/>
        <w:rPr>
          <w:rFonts w:cs="Arial" w:asciiTheme="minorEastAsia" w:hAnsiTheme="minorEastAsia" w:eastAsiaTheme="minorEastAsia"/>
        </w:rPr>
      </w:pPr>
      <w:r>
        <w:rPr>
          <w:rFonts w:hint="eastAsia" w:ascii="仿宋_GB2312" w:eastAsia="仿宋_GB2312"/>
          <w:sz w:val="30"/>
          <w:szCs w:val="30"/>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394970</wp:posOffset>
                </wp:positionV>
                <wp:extent cx="5324475"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5324475" cy="0"/>
                        </a:xfrm>
                        <a:prstGeom prst="line">
                          <a:avLst/>
                        </a:prstGeom>
                        <a:ln w="1905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31.1pt;height:0pt;width:419.25pt;z-index:251659264;mso-width-relative:page;mso-height-relative:page;" filled="f" stroked="t" coordsize="21600,21600" o:gfxdata="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JLFcuHTAAAABgEAAA8AAAAA&#10;AAAAAQAgAAAAIgAAAGRycy9kb3ducmV2LnhtbFBLAQIUABQAAAAIAIdO4kAZ4f3d4AEAAKUDAAAO&#10;AAAAAAAAAAEAIAAAACIBAABkcnMvZTJvRG9jLnhtbFBLBQYAAAAABgAGAFkBAAB0BQAAAAA=&#10;">
                <v:fill on="f" focussize="0,0"/>
                <v:stroke weight="1.5pt" color="#000000" joinstyle="round"/>
                <v:imagedata o:title=""/>
                <o:lock v:ext="edit" aspectratio="f"/>
              </v:line>
            </w:pict>
          </mc:Fallback>
        </mc:AlternateContent>
      </w:r>
      <w:r>
        <w:rPr>
          <w:rFonts w:hint="eastAsia" w:ascii="仿宋_GB2312" w:eastAsia="仿宋_GB2312"/>
          <w:sz w:val="30"/>
          <w:szCs w:val="30"/>
        </w:rPr>
        <mc:AlternateContent>
          <mc:Choice Requires="wps">
            <w:drawing>
              <wp:anchor distT="0" distB="0" distL="114300" distR="114300" simplePos="0" relativeHeight="251658240" behindDoc="0" locked="0" layoutInCell="1" allowOverlap="1">
                <wp:simplePos x="0" y="0"/>
                <wp:positionH relativeFrom="column">
                  <wp:posOffset>-6350</wp:posOffset>
                </wp:positionH>
                <wp:positionV relativeFrom="paragraph">
                  <wp:posOffset>-1270</wp:posOffset>
                </wp:positionV>
                <wp:extent cx="5330825" cy="1270"/>
                <wp:effectExtent l="0" t="0" r="0" b="0"/>
                <wp:wrapNone/>
                <wp:docPr id="2" name="直接连接符 2"/>
                <wp:cNvGraphicFramePr/>
                <a:graphic xmlns:a="http://schemas.openxmlformats.org/drawingml/2006/main">
                  <a:graphicData uri="http://schemas.microsoft.com/office/word/2010/wordprocessingShape">
                    <wps:wsp>
                      <wps:cNvCnPr/>
                      <wps:spPr>
                        <a:xfrm>
                          <a:off x="0" y="0"/>
                          <a:ext cx="5330825" cy="127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5pt;margin-top:-0.1pt;height:0.1pt;width:419.75pt;z-index:251658240;mso-width-relative:page;mso-height-relative:page;" filled="f" stroked="t" coordsize="21600,21600" o:gfxdata="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06fNu1AAAAAUBAAAP&#10;AAAAAAAAAAEAIAAAACIAAABkcnMvZG93bnJldi54bWxQSwECFAAUAAAACACHTuJACEtIq+MBAACn&#10;AwAADgAAAAAAAAABACAAAAAjAQAAZHJzL2Uyb0RvYy54bWxQSwUGAAAAAAYABgBZAQAAeAUAAAAA&#10;">
                <v:fill on="f" focussize="0,0"/>
                <v:stroke color="#000000" joinstyle="round"/>
                <v:imagedata o:title=""/>
                <o:lock v:ext="edit" aspectratio="f"/>
              </v:line>
            </w:pict>
          </mc:Fallback>
        </mc:AlternateContent>
      </w:r>
      <w:r>
        <w:rPr>
          <w:rFonts w:hint="eastAsia" w:ascii="仿宋_GB2312" w:eastAsia="仿宋_GB2312"/>
          <w:sz w:val="30"/>
          <w:szCs w:val="30"/>
        </w:rPr>
        <w:t>上海电子</w:t>
      </w:r>
      <w:r>
        <w:rPr>
          <w:rFonts w:hint="eastAsia" w:ascii="仿宋_GB2312" w:eastAsia="仿宋_GB2312"/>
          <w:sz w:val="30"/>
          <w:szCs w:val="30"/>
          <w:lang w:eastAsia="zh-CN"/>
        </w:rPr>
        <w:t>信息职业技术学院</w:t>
      </w:r>
      <w:r>
        <w:rPr>
          <w:rFonts w:hint="eastAsia" w:ascii="仿宋_GB2312" w:eastAsia="仿宋_GB2312"/>
          <w:sz w:val="30"/>
          <w:szCs w:val="30"/>
        </w:rPr>
        <w:t>办公室      2018 年</w:t>
      </w:r>
      <w:r>
        <w:rPr>
          <w:rFonts w:hint="eastAsia" w:ascii="仿宋_GB2312" w:eastAsia="仿宋_GB2312"/>
          <w:sz w:val="30"/>
          <w:szCs w:val="30"/>
          <w:lang w:val="en-US" w:eastAsia="zh-CN"/>
        </w:rPr>
        <w:t>7</w:t>
      </w:r>
      <w:r>
        <w:rPr>
          <w:rFonts w:hint="eastAsia" w:ascii="仿宋_GB2312" w:eastAsia="仿宋_GB2312"/>
          <w:sz w:val="30"/>
          <w:szCs w:val="30"/>
        </w:rPr>
        <w:t>月</w:t>
      </w:r>
      <w:r>
        <w:rPr>
          <w:rFonts w:hint="eastAsia" w:ascii="仿宋_GB2312" w:hAnsi="仿宋" w:eastAsia="仿宋_GB2312"/>
          <w:sz w:val="30"/>
          <w:szCs w:val="30"/>
          <w:lang w:val="en-US" w:eastAsia="zh-CN"/>
        </w:rPr>
        <w:t>10</w:t>
      </w:r>
      <w:r>
        <w:rPr>
          <w:rFonts w:hint="eastAsia" w:ascii="仿宋_GB2312" w:eastAsia="仿宋_GB2312"/>
          <w:sz w:val="30"/>
          <w:szCs w:val="30"/>
        </w:rPr>
        <w:t>日印发</w:t>
      </w:r>
    </w:p>
    <w:p>
      <w:pPr>
        <w:widowControl w:val="0"/>
        <w:numPr>
          <w:numId w:val="0"/>
        </w:numPr>
        <w:jc w:val="both"/>
        <w:rPr>
          <w:rFonts w:hint="eastAsia" w:ascii="仿宋" w:hAnsi="仿宋" w:eastAsia="仿宋" w:cs="仿宋"/>
          <w:color w:val="000000"/>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9532968"/>
    <w:multiLevelType w:val="singleLevel"/>
    <w:tmpl w:val="F9532968"/>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07B7"/>
    <w:rsid w:val="00380878"/>
    <w:rsid w:val="00BD07B7"/>
    <w:rsid w:val="07270E40"/>
    <w:rsid w:val="608341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Normal (Web)"/>
    <w:basedOn w:val="1"/>
    <w:qFormat/>
    <w:uiPriority w:val="99"/>
    <w:pPr>
      <w:widowControl/>
      <w:spacing w:before="100" w:beforeAutospacing="1" w:after="100" w:afterAutospacing="1"/>
      <w:jc w:val="left"/>
    </w:pPr>
    <w:rPr>
      <w:rFonts w:ascii="宋体" w:hAnsi="宋体" w:cs="宋体"/>
      <w:color w:val="000000"/>
      <w:kern w:val="0"/>
      <w:sz w:val="24"/>
    </w:rPr>
  </w:style>
  <w:style w:type="paragraph" w:customStyle="1" w:styleId="5">
    <w:name w:val="reader-word-layer"/>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Pages>
  <Words>360</Words>
  <Characters>2052</Characters>
  <Lines>17</Lines>
  <Paragraphs>4</Paragraphs>
  <TotalTime>0</TotalTime>
  <ScaleCrop>false</ScaleCrop>
  <LinksUpToDate>false</LinksUpToDate>
  <CharactersWithSpaces>2408</CharactersWithSpaces>
  <Application>WPS Office_11.1.0.7764_F1E327BC-269C-435d-A152-05C5408002CA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2018-07-04T00:58:00Z</dcterms:created>
  <dc:creator>USER</dc:creator>
  <cp:lastModifiedBy>Administrator</cp:lastModifiedBy>
  <dcterms:modified xsi:type="dcterms:W3CDTF">2018-08-21T10:17:11Z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2052-11.1.0.7764</vt:lpwstr>
  </property>
</Properties>
</file>