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F8D38">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right="0"/>
        <w:jc w:val="both"/>
        <w:rPr>
          <w:rFonts w:ascii="黑体" w:hAnsi="宋体" w:eastAsia="黑体" w:cs="黑体"/>
          <w:color w:val="000000"/>
          <w:sz w:val="28"/>
          <w:szCs w:val="28"/>
        </w:rPr>
      </w:pPr>
    </w:p>
    <w:p w14:paraId="562E77F5">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right="0"/>
        <w:jc w:val="both"/>
        <w:rPr>
          <w:rFonts w:ascii="黑体" w:hAnsi="宋体" w:eastAsia="黑体" w:cs="黑体"/>
          <w:color w:val="000000"/>
          <w:sz w:val="28"/>
          <w:szCs w:val="28"/>
        </w:rPr>
      </w:pPr>
    </w:p>
    <w:p w14:paraId="67DF3B09">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firstLine="580"/>
        <w:jc w:val="center"/>
        <w:rPr>
          <w:rFonts w:ascii="黑体" w:hAnsi="宋体" w:eastAsia="黑体" w:cs="黑体"/>
          <w:color w:val="000000"/>
          <w:sz w:val="28"/>
          <w:szCs w:val="28"/>
        </w:rPr>
      </w:pPr>
    </w:p>
    <w:p w14:paraId="7D552CB5">
      <w:pPr>
        <w:ind w:left="0" w:leftChars="0" w:firstLine="0" w:firstLineChars="0"/>
        <w:jc w:val="distribute"/>
        <w:rPr>
          <w:rFonts w:ascii="华文中宋" w:hAnsi="华文中宋" w:eastAsia="华文中宋" w:cs="Times New Roman"/>
          <w:b/>
          <w:color w:val="FF0000"/>
          <w:spacing w:val="266"/>
          <w:w w:val="72"/>
          <w:kern w:val="0"/>
          <w:sz w:val="72"/>
          <w:szCs w:val="72"/>
        </w:rPr>
      </w:pPr>
      <w:r>
        <w:rPr>
          <w:rFonts w:hint="eastAsia" w:ascii="华文中宋" w:hAnsi="华文中宋" w:eastAsia="华文中宋" w:cs="Times New Roman"/>
          <w:b/>
          <w:color w:val="FF0000"/>
          <w:w w:val="66"/>
          <w:kern w:val="0"/>
          <w:sz w:val="72"/>
          <w:szCs w:val="72"/>
        </w:rPr>
        <w:t>上海电子信息职业技术学院文</w:t>
      </w:r>
      <w:r>
        <w:rPr>
          <w:rFonts w:hint="eastAsia" w:ascii="华文中宋" w:hAnsi="华文中宋" w:eastAsia="华文中宋" w:cs="Times New Roman"/>
          <w:b/>
          <w:color w:val="FF0000"/>
          <w:spacing w:val="58"/>
          <w:w w:val="66"/>
          <w:kern w:val="0"/>
          <w:sz w:val="72"/>
          <w:szCs w:val="72"/>
        </w:rPr>
        <w:t>件</w:t>
      </w:r>
    </w:p>
    <w:p w14:paraId="47A1094D">
      <w:pPr>
        <w:rPr>
          <w:rFonts w:ascii="Calibri" w:hAnsi="Calibri" w:eastAsia="宋体" w:cs="Times New Roman"/>
          <w:sz w:val="24"/>
        </w:rPr>
      </w:pPr>
    </w:p>
    <w:p w14:paraId="07EE9808">
      <w:pPr>
        <w:jc w:val="center"/>
        <w:rPr>
          <w:rFonts w:ascii="Calibri" w:hAnsi="Calibri" w:eastAsia="宋体" w:cs="Times New Roman"/>
          <w:sz w:val="24"/>
        </w:rPr>
      </w:pPr>
    </w:p>
    <w:p w14:paraId="751AE69C">
      <w:pPr>
        <w:spacing w:before="156" w:beforeLines="50"/>
        <w:ind w:firstLine="0" w:firstLineChars="0"/>
        <w:jc w:val="center"/>
        <w:rPr>
          <w:rFonts w:hint="eastAsia" w:ascii="黑体" w:hAnsi="Calibri" w:eastAsia="黑体" w:cs="Times New Roman"/>
          <w:color w:val="FF0000"/>
          <w:sz w:val="28"/>
          <w:szCs w:val="28"/>
          <w:u w:val="thick"/>
          <w:lang w:val="en-US" w:eastAsia="zh-CN"/>
        </w:rPr>
      </w:pPr>
      <w:r>
        <w:rPr>
          <w:rFonts w:ascii="Calibri" w:hAnsi="Calibri" w:eastAsia="仿宋_GB2312" w:cs="Times New Roman"/>
          <w:color w:val="000000"/>
          <w:kern w:val="0"/>
          <w:sz w:val="32"/>
          <w:szCs w:val="28"/>
        </w:rPr>
        <w:t>沪电信职院</w:t>
      </w:r>
      <w:r>
        <w:rPr>
          <w:rFonts w:hint="eastAsia" w:ascii="Calibri" w:hAnsi="Calibri" w:eastAsia="仿宋_GB2312" w:cs="Times New Roman"/>
          <w:color w:val="000000"/>
          <w:kern w:val="0"/>
          <w:sz w:val="32"/>
          <w:szCs w:val="28"/>
        </w:rPr>
        <w:t>〔</w:t>
      </w:r>
      <w:r>
        <w:rPr>
          <w:rFonts w:ascii="Calibri" w:hAnsi="Calibri" w:eastAsia="仿宋_GB2312" w:cs="Times New Roman"/>
          <w:color w:val="000000"/>
          <w:kern w:val="0"/>
          <w:sz w:val="32"/>
          <w:szCs w:val="28"/>
        </w:rPr>
        <w:t>202</w:t>
      </w:r>
      <w:r>
        <w:rPr>
          <w:rFonts w:hint="eastAsia" w:ascii="Calibri" w:hAnsi="Calibri" w:eastAsia="仿宋_GB2312" w:cs="Times New Roman"/>
          <w:color w:val="000000"/>
          <w:kern w:val="0"/>
          <w:sz w:val="32"/>
          <w:szCs w:val="28"/>
        </w:rPr>
        <w:t>5〕</w:t>
      </w:r>
      <w:r>
        <w:rPr>
          <w:rFonts w:hint="eastAsia" w:ascii="Calibri" w:hAnsi="Calibri" w:eastAsia="仿宋_GB2312" w:cs="Times New Roman"/>
          <w:color w:val="000000"/>
          <w:kern w:val="0"/>
          <w:sz w:val="32"/>
          <w:szCs w:val="28"/>
          <w:lang w:val="en-US" w:eastAsia="zh-CN"/>
        </w:rPr>
        <w:t>48</w:t>
      </w:r>
      <w:r>
        <w:rPr>
          <w:rFonts w:ascii="Calibri" w:hAnsi="Calibri" w:eastAsia="仿宋_GB2312" w:cs="Times New Roman"/>
          <w:color w:val="000000"/>
          <w:kern w:val="0"/>
          <w:sz w:val="32"/>
          <w:szCs w:val="28"/>
        </w:rPr>
        <w:t>号</w:t>
      </w:r>
    </w:p>
    <w:p w14:paraId="7262DA3D">
      <w:pPr>
        <w:snapToGrid w:val="0"/>
        <w:spacing w:before="312" w:beforeLines="100" w:line="500" w:lineRule="exact"/>
        <w:ind w:left="0" w:leftChars="0" w:firstLine="0" w:firstLineChars="0"/>
        <w:rPr>
          <w:rFonts w:ascii="黑体" w:hAnsi="黑体" w:eastAsia="黑体"/>
          <w:color w:val="000000" w:themeColor="text1"/>
          <w:sz w:val="36"/>
          <w:szCs w:val="36"/>
          <w14:textFill>
            <w14:solidFill>
              <w14:schemeClr w14:val="tx1"/>
            </w14:solidFill>
          </w14:textFill>
        </w:rPr>
      </w:pPr>
      <w:r>
        <w:rPr>
          <w:rFonts w:hint="eastAsia" w:ascii="黑体" w:hAnsi="Calibri" w:eastAsia="黑体" w:cs="Times New Roman"/>
          <w:color w:val="FF0000"/>
          <w:sz w:val="28"/>
          <w:szCs w:val="28"/>
          <w:u w:val="thick"/>
        </w:rPr>
        <w:t xml:space="preserve">                      </w:t>
      </w:r>
      <w:r>
        <w:rPr>
          <w:rFonts w:hint="eastAsia" w:ascii="黑体" w:hAnsi="Calibri" w:eastAsia="黑体" w:cs="Times New Roman"/>
          <w:color w:val="FF0000"/>
          <w:sz w:val="28"/>
          <w:szCs w:val="28"/>
          <w:u w:val="thick"/>
          <w:lang w:val="en-US" w:eastAsia="zh-CN"/>
        </w:rPr>
        <w:t xml:space="preserve">   </w:t>
      </w:r>
      <w:r>
        <w:rPr>
          <w:rFonts w:hint="eastAsia" w:ascii="黑体" w:hAnsi="Calibri" w:eastAsia="黑体" w:cs="Times New Roman"/>
          <w:color w:val="FF0000"/>
          <w:sz w:val="28"/>
          <w:szCs w:val="28"/>
          <w:u w:val="thick"/>
        </w:rPr>
        <w:t xml:space="preserve">                                   </w:t>
      </w:r>
    </w:p>
    <w:p w14:paraId="2D2C729A">
      <w:pPr>
        <w:spacing w:line="520" w:lineRule="exact"/>
        <w:ind w:left="0" w:leftChars="0" w:firstLine="0" w:firstLineChars="0"/>
        <w:jc w:val="center"/>
        <w:rPr>
          <w:rFonts w:ascii="华文中宋" w:hAnsi="华文中宋" w:eastAsia="华文中宋"/>
          <w:b/>
          <w:color w:val="000000" w:themeColor="text1"/>
          <w:sz w:val="36"/>
          <w:szCs w:val="36"/>
          <w14:textFill>
            <w14:solidFill>
              <w14:schemeClr w14:val="tx1"/>
            </w14:solidFill>
          </w14:textFill>
        </w:rPr>
      </w:pPr>
      <w:r>
        <w:rPr>
          <w:rFonts w:hint="eastAsia" w:ascii="华文中宋" w:hAnsi="华文中宋" w:eastAsia="华文中宋"/>
          <w:b/>
          <w:color w:val="000000" w:themeColor="text1"/>
          <w:sz w:val="36"/>
          <w:szCs w:val="36"/>
          <w14:textFill>
            <w14:solidFill>
              <w14:schemeClr w14:val="tx1"/>
            </w14:solidFill>
          </w14:textFill>
        </w:rPr>
        <w:t>关于印发《上海电子信息职业技术学院</w:t>
      </w:r>
      <w:r>
        <w:rPr>
          <w:rFonts w:hint="eastAsia" w:ascii="华文中宋" w:hAnsi="华文中宋" w:eastAsia="华文中宋"/>
          <w:b/>
          <w:color w:val="000000" w:themeColor="text1"/>
          <w:sz w:val="36"/>
          <w:szCs w:val="36"/>
          <w:lang w:val="en-US" w:eastAsia="zh-CN"/>
          <w14:textFill>
            <w14:solidFill>
              <w14:schemeClr w14:val="tx1"/>
            </w14:solidFill>
          </w14:textFill>
        </w:rPr>
        <w:t>非招标采购方式管理实施细则</w:t>
      </w:r>
      <w:r>
        <w:rPr>
          <w:rFonts w:hint="eastAsia" w:ascii="华文中宋" w:hAnsi="华文中宋" w:eastAsia="华文中宋"/>
          <w:b/>
          <w:color w:val="000000" w:themeColor="text1"/>
          <w:sz w:val="36"/>
          <w:szCs w:val="36"/>
          <w14:textFill>
            <w14:solidFill>
              <w14:schemeClr w14:val="tx1"/>
            </w14:solidFill>
          </w14:textFill>
        </w:rPr>
        <w:t>》的通知</w:t>
      </w:r>
    </w:p>
    <w:p w14:paraId="1D3541D5">
      <w:pPr>
        <w:spacing w:line="520" w:lineRule="exact"/>
        <w:jc w:val="center"/>
        <w:rPr>
          <w:color w:val="000000" w:themeColor="text1"/>
          <w14:textFill>
            <w14:solidFill>
              <w14:schemeClr w14:val="tx1"/>
            </w14:solidFill>
          </w14:textFill>
        </w:rPr>
      </w:pPr>
    </w:p>
    <w:p w14:paraId="1F2B5196">
      <w:pPr>
        <w:spacing w:line="520" w:lineRule="exact"/>
        <w:ind w:left="0" w:leftChars="0" w:firstLine="0" w:firstLineChars="0"/>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各</w:t>
      </w:r>
      <w:r>
        <w:rPr>
          <w:rFonts w:hint="eastAsia" w:ascii="方正仿宋_GB2312" w:hAnsi="方正仿宋_GB2312" w:eastAsia="方正仿宋_GB2312" w:cs="方正仿宋_GB2312"/>
          <w:color w:val="000000" w:themeColor="text1"/>
          <w:kern w:val="0"/>
          <w:sz w:val="32"/>
          <w:szCs w:val="32"/>
          <w:lang w:val="en-US" w:eastAsia="zh-CN"/>
          <w14:textFill>
            <w14:solidFill>
              <w14:schemeClr w14:val="tx1"/>
            </w14:solidFill>
          </w14:textFill>
        </w:rPr>
        <w:t>教学单位</w:t>
      </w:r>
      <w:r>
        <w:rPr>
          <w:rFonts w:hint="eastAsia" w:ascii="方正仿宋_GB2312" w:hAnsi="方正仿宋_GB2312" w:eastAsia="方正仿宋_GB2312" w:cs="方正仿宋_GB2312"/>
          <w:color w:val="000000" w:themeColor="text1"/>
          <w:kern w:val="0"/>
          <w:sz w:val="32"/>
          <w:szCs w:val="32"/>
          <w14:textFill>
            <w14:solidFill>
              <w14:schemeClr w14:val="tx1"/>
            </w14:solidFill>
          </w14:textFill>
        </w:rPr>
        <w:t>、职能部门：</w:t>
      </w:r>
    </w:p>
    <w:p w14:paraId="5BE5ACB9">
      <w:pPr>
        <w:pStyle w:val="7"/>
        <w:spacing w:line="520"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现将《上海电子信息职业技术学院</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非招标采购方式管理实施细则</w:t>
      </w:r>
      <w:r>
        <w:rPr>
          <w:rFonts w:hint="eastAsia" w:ascii="方正仿宋_GB2312" w:hAnsi="方正仿宋_GB2312" w:eastAsia="方正仿宋_GB2312" w:cs="方正仿宋_GB2312"/>
          <w:color w:val="000000" w:themeColor="text1"/>
          <w:sz w:val="32"/>
          <w:szCs w:val="32"/>
          <w14:textFill>
            <w14:solidFill>
              <w14:schemeClr w14:val="tx1"/>
            </w14:solidFill>
          </w14:textFill>
        </w:rPr>
        <w:t>》印发给你们，请结合工作实际，认真研究落实。</w:t>
      </w:r>
    </w:p>
    <w:p w14:paraId="15202F1E">
      <w:pPr>
        <w:pStyle w:val="7"/>
        <w:spacing w:line="520" w:lineRule="exact"/>
        <w:ind w:firstLine="640"/>
        <w:rPr>
          <w:rFonts w:hint="eastAsia" w:ascii="方正仿宋_GB2312" w:hAnsi="方正仿宋_GB2312" w:eastAsia="方正仿宋_GB2312" w:cs="方正仿宋_GB2312"/>
          <w:color w:val="000000" w:themeColor="text1"/>
          <w:sz w:val="32"/>
          <w:szCs w:val="32"/>
          <w14:textFill>
            <w14:solidFill>
              <w14:schemeClr w14:val="tx1"/>
            </w14:solidFill>
          </w14:textFill>
        </w:rPr>
      </w:pPr>
    </w:p>
    <w:p w14:paraId="2D96BEBA">
      <w:pPr>
        <w:pStyle w:val="7"/>
        <w:spacing w:line="520" w:lineRule="exact"/>
        <w:ind w:firstLine="640"/>
        <w:rPr>
          <w:rFonts w:hint="eastAsia"/>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附件：上海电子信息职业技术学院</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非招标采购方式管理实施细则</w:t>
      </w:r>
      <w:r>
        <w:rPr>
          <w:rFonts w:hint="eastAsia"/>
          <w:color w:val="000000" w:themeColor="text1"/>
          <w:sz w:val="32"/>
          <w:szCs w:val="32"/>
          <w14:textFill>
            <w14:solidFill>
              <w14:schemeClr w14:val="tx1"/>
            </w14:solidFill>
          </w14:textFill>
        </w:rPr>
        <w:t xml:space="preserve">               </w:t>
      </w:r>
    </w:p>
    <w:p w14:paraId="7A2CCFFB">
      <w:pPr>
        <w:pStyle w:val="7"/>
        <w:spacing w:line="520" w:lineRule="exact"/>
        <w:ind w:firstLine="640"/>
        <w:jc w:val="right"/>
        <w:rPr>
          <w:rFonts w:hint="eastAsia"/>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 xml:space="preserve">  </w:t>
      </w:r>
      <w:r>
        <w:rPr>
          <w:rFonts w:hint="eastAsia"/>
          <w:color w:val="000000" w:themeColor="text1"/>
          <w:sz w:val="32"/>
          <w:szCs w:val="32"/>
          <w:lang w:val="en-US" w:eastAsia="zh-CN"/>
          <w14:textFill>
            <w14:solidFill>
              <w14:schemeClr w14:val="tx1"/>
            </w14:solidFill>
          </w14:textFill>
        </w:rPr>
        <w:t xml:space="preserve">                 </w:t>
      </w:r>
      <w:r>
        <w:rPr>
          <w:rFonts w:hint="eastAsia"/>
          <w:color w:val="000000" w:themeColor="text1"/>
          <w:sz w:val="32"/>
          <w:szCs w:val="32"/>
          <w14:textFill>
            <w14:solidFill>
              <w14:schemeClr w14:val="tx1"/>
            </w14:solidFill>
          </w14:textFill>
        </w:rPr>
        <w:t xml:space="preserve"> </w:t>
      </w:r>
    </w:p>
    <w:p w14:paraId="4EEE9208">
      <w:pPr>
        <w:pStyle w:val="7"/>
        <w:spacing w:line="520" w:lineRule="exact"/>
        <w:ind w:firstLine="640"/>
        <w:jc w:val="right"/>
        <w:rPr>
          <w:rFonts w:hint="eastAsia"/>
          <w:color w:val="000000" w:themeColor="text1"/>
          <w:sz w:val="32"/>
          <w:szCs w:val="32"/>
          <w14:textFill>
            <w14:solidFill>
              <w14:schemeClr w14:val="tx1"/>
            </w14:solidFill>
          </w14:textFill>
        </w:rPr>
      </w:pPr>
    </w:p>
    <w:p w14:paraId="2502151E">
      <w:pPr>
        <w:pStyle w:val="7"/>
        <w:spacing w:line="520" w:lineRule="exact"/>
        <w:ind w:firstLine="640"/>
        <w:jc w:val="right"/>
        <w:rPr>
          <w:rFonts w:hint="eastAsia"/>
          <w:color w:val="000000" w:themeColor="text1"/>
          <w:sz w:val="32"/>
          <w:szCs w:val="32"/>
          <w14:textFill>
            <w14:solidFill>
              <w14:schemeClr w14:val="tx1"/>
            </w14:solidFill>
          </w14:textFill>
        </w:rPr>
      </w:pPr>
    </w:p>
    <w:p w14:paraId="3B43E2EC">
      <w:pPr>
        <w:pStyle w:val="7"/>
        <w:spacing w:line="520" w:lineRule="exact"/>
        <w:jc w:val="both"/>
        <w:rPr>
          <w:rFonts w:hint="eastAsia"/>
          <w:color w:val="000000" w:themeColor="text1"/>
          <w:sz w:val="32"/>
          <w:szCs w:val="32"/>
          <w14:textFill>
            <w14:solidFill>
              <w14:schemeClr w14:val="tx1"/>
            </w14:solidFill>
          </w14:textFill>
        </w:rPr>
      </w:pPr>
    </w:p>
    <w:p w14:paraId="6329948D">
      <w:pPr>
        <w:pStyle w:val="7"/>
        <w:spacing w:line="520" w:lineRule="exact"/>
        <w:ind w:firstLine="640"/>
        <w:jc w:val="right"/>
        <w:rPr>
          <w:rFonts w:hint="eastAsia"/>
          <w:color w:val="000000" w:themeColor="text1"/>
          <w:sz w:val="32"/>
          <w:szCs w:val="32"/>
          <w14:textFill>
            <w14:solidFill>
              <w14:schemeClr w14:val="tx1"/>
            </w14:solidFill>
          </w14:textFill>
        </w:rPr>
      </w:pPr>
    </w:p>
    <w:p w14:paraId="61F67D6C">
      <w:pPr>
        <w:pStyle w:val="7"/>
        <w:spacing w:line="520" w:lineRule="exact"/>
        <w:ind w:firstLine="640"/>
        <w:jc w:val="right"/>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上海电子信息职业技术学院</w:t>
      </w:r>
    </w:p>
    <w:p w14:paraId="5776D125">
      <w:pPr>
        <w:pStyle w:val="7"/>
        <w:spacing w:line="520" w:lineRule="exact"/>
        <w:ind w:firstLine="640"/>
        <w:jc w:val="right"/>
        <w:rPr>
          <w:rFonts w:hint="eastAsia" w:ascii="黑体" w:hAnsi="黑体" w:eastAsia="黑体" w:cs="黑体"/>
          <w:spacing w:val="0"/>
          <w:sz w:val="32"/>
          <w:szCs w:val="32"/>
          <w:lang w:val="en-US" w:eastAsia="zh-CN"/>
        </w:rPr>
      </w:pPr>
      <w:r>
        <w:rPr>
          <w:rFonts w:hint="eastAsia" w:ascii="方正仿宋_GB2312" w:hAnsi="方正仿宋_GB2312" w:eastAsia="方正仿宋_GB2312" w:cs="方正仿宋_GB2312"/>
          <w:color w:val="000000" w:themeColor="text1"/>
          <w:sz w:val="32"/>
          <w:szCs w:val="32"/>
          <w14:textFill>
            <w14:solidFill>
              <w14:schemeClr w14:val="tx1"/>
            </w14:solidFill>
          </w14:textFill>
        </w:rPr>
        <w:t xml:space="preserve">                       2025年</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6</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月</w:t>
      </w:r>
      <w:r>
        <w:rPr>
          <w:rFonts w:hint="eastAsia" w:ascii="方正仿宋_GB2312" w:hAnsi="方正仿宋_GB2312" w:eastAsia="方正仿宋_GB2312" w:cs="方正仿宋_GB2312"/>
          <w:color w:val="000000" w:themeColor="text1"/>
          <w:sz w:val="32"/>
          <w:szCs w:val="32"/>
          <w:lang w:val="en-US" w:eastAsia="zh-CN"/>
          <w14:textFill>
            <w14:solidFill>
              <w14:schemeClr w14:val="tx1"/>
            </w14:solidFill>
          </w14:textFill>
        </w:rPr>
        <w:t>17</w:t>
      </w:r>
      <w:r>
        <w:rPr>
          <w:rFonts w:hint="eastAsia" w:ascii="方正仿宋_GB2312" w:hAnsi="方正仿宋_GB2312" w:eastAsia="方正仿宋_GB2312" w:cs="方正仿宋_GB2312"/>
          <w:color w:val="000000" w:themeColor="text1"/>
          <w:sz w:val="32"/>
          <w:szCs w:val="32"/>
          <w14:textFill>
            <w14:solidFill>
              <w14:schemeClr w14:val="tx1"/>
            </w14:solidFill>
          </w14:textFill>
        </w:rPr>
        <w:t>日</w:t>
      </w:r>
    </w:p>
    <w:p w14:paraId="15EC659E">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right="0"/>
        <w:jc w:val="both"/>
        <w:rPr>
          <w:rFonts w:hint="eastAsia" w:ascii="黑体" w:hAnsi="宋体" w:eastAsia="黑体" w:cs="黑体"/>
          <w:color w:val="000000"/>
          <w:sz w:val="28"/>
          <w:szCs w:val="28"/>
          <w:lang w:val="en-US" w:eastAsia="zh-CN"/>
        </w:rPr>
      </w:pPr>
      <w:r>
        <w:rPr>
          <w:rFonts w:hint="eastAsia" w:ascii="黑体" w:hAnsi="宋体" w:eastAsia="黑体" w:cs="黑体"/>
          <w:color w:val="000000"/>
          <w:sz w:val="28"/>
          <w:szCs w:val="28"/>
          <w:lang w:val="en-US" w:eastAsia="zh-CN"/>
        </w:rPr>
        <w:t>附件：</w:t>
      </w:r>
    </w:p>
    <w:p w14:paraId="4ED2DDD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firstLine="580"/>
        <w:jc w:val="center"/>
      </w:pPr>
      <w:r>
        <w:rPr>
          <w:rFonts w:ascii="黑体" w:hAnsi="宋体" w:eastAsia="黑体" w:cs="黑体"/>
          <w:color w:val="000000"/>
          <w:sz w:val="28"/>
          <w:szCs w:val="28"/>
        </w:rPr>
        <w:t>上海电子信息职业技术学院</w:t>
      </w:r>
    </w:p>
    <w:p w14:paraId="05AA423B">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60"/>
        <w:jc w:val="center"/>
      </w:pPr>
      <w:r>
        <w:rPr>
          <w:rFonts w:hint="eastAsia" w:ascii="黑体" w:hAnsi="宋体" w:eastAsia="黑体" w:cs="黑体"/>
          <w:color w:val="000000"/>
          <w:sz w:val="28"/>
          <w:szCs w:val="28"/>
        </w:rPr>
        <w:t>非招标采购方式管理实施细则</w:t>
      </w:r>
    </w:p>
    <w:p w14:paraId="587F7EE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72"/>
        <w:jc w:val="both"/>
      </w:pPr>
      <w:r>
        <w:rPr>
          <w:rFonts w:ascii="仿宋" w:hAnsi="仿宋" w:eastAsia="仿宋" w:cs="仿宋"/>
          <w:color w:val="000000"/>
          <w:sz w:val="28"/>
          <w:szCs w:val="28"/>
        </w:rPr>
        <w:t>第一条</w:t>
      </w:r>
      <w:r>
        <w:rPr>
          <w:rFonts w:hint="eastAsia" w:ascii="仿宋" w:hAnsi="仿宋" w:eastAsia="仿宋" w:cs="仿宋"/>
          <w:color w:val="000000"/>
          <w:sz w:val="28"/>
          <w:szCs w:val="28"/>
        </w:rPr>
        <w:t> 为进一步规范学校采购行为，加强对采用非招标采购方式采购活动的组织管理，维护学校合法权益，根据《中华人民共和国政府采购法》及实施条例、《政府采购非招标采购方式管理办法》《上海市政府采购实施办法》等相关法律法规，及《上海电子信息职业技术学院采购管理办法》，结合学校实际，制定本办法。</w:t>
      </w:r>
    </w:p>
    <w:p w14:paraId="41705DF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72"/>
        <w:jc w:val="both"/>
      </w:pPr>
      <w:r>
        <w:rPr>
          <w:rFonts w:hint="eastAsia" w:ascii="仿宋" w:hAnsi="仿宋" w:eastAsia="仿宋" w:cs="仿宋"/>
          <w:color w:val="000000"/>
          <w:sz w:val="28"/>
          <w:szCs w:val="28"/>
        </w:rPr>
        <w:t>第二条 政府集中采购目录以外，预算金额在政府采购限额标准以下、学校采购限额标准以上的货物、服务和工程项目的采购，适用本细则。</w:t>
      </w:r>
    </w:p>
    <w:p w14:paraId="41C1FC9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72"/>
        <w:jc w:val="both"/>
      </w:pPr>
      <w:r>
        <w:rPr>
          <w:rFonts w:hint="eastAsia" w:ascii="仿宋" w:hAnsi="仿宋" w:eastAsia="仿宋" w:cs="仿宋"/>
          <w:color w:val="000000"/>
          <w:sz w:val="28"/>
          <w:szCs w:val="28"/>
        </w:rPr>
        <w:t>第三条 学校非招标采购方式包括竞争性谈判、竞争性磋商、询价、单一来源采购、协议采购、比选采购等。</w:t>
      </w:r>
    </w:p>
    <w:p w14:paraId="3BD73C42">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60"/>
        <w:jc w:val="both"/>
      </w:pPr>
      <w:r>
        <w:rPr>
          <w:rFonts w:hint="eastAsia" w:ascii="仿宋" w:hAnsi="仿宋" w:eastAsia="仿宋" w:cs="仿宋"/>
          <w:color w:val="000000"/>
          <w:sz w:val="28"/>
          <w:szCs w:val="28"/>
        </w:rPr>
        <w:t>第四条 竞争性谈判，是指谈判小组与符合资格条件的供应商就货物、服务和工程项目采购事宜进行谈判，供应商按照谈判文件的要求提交响应文件和最后报价，谈判小组对响应文件进行评审和比较，根据质量和服务均能满足采购文件实质性响应要求，且最后报价最低的原则确定成交供应商的采购方式。</w:t>
      </w:r>
    </w:p>
    <w:p w14:paraId="184E438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符合下列情形之一的项目，可采用竞争性谈判方式采购：</w:t>
      </w:r>
    </w:p>
    <w:p w14:paraId="2A13970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（一）招标后没有供应商投标或没有合格标的或重新招标未能成立的；</w:t>
      </w:r>
    </w:p>
    <w:p w14:paraId="681C7027">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（二）技术复杂或性质特殊，不能确定详细规格或具体要求的；</w:t>
      </w:r>
    </w:p>
    <w:p w14:paraId="2B695760">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（三）非采购人所能预见的原因或非采购人拖延造成采用招标所需时间不能满足用户紧急需要的；</w:t>
      </w:r>
    </w:p>
    <w:p w14:paraId="0621C16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（四）因艺术品采购、专利、专有技术或者服务的时间、数量事先不能确定等原因不能事先计算出价格总额的；</w:t>
      </w:r>
    </w:p>
    <w:p w14:paraId="5E226872">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（五）按照招投标法及其实施条例必须进行招标的工程建设项目以外的政府采购工程。</w:t>
      </w:r>
    </w:p>
    <w:p w14:paraId="1C165236">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60"/>
        <w:jc w:val="both"/>
      </w:pPr>
      <w:r>
        <w:rPr>
          <w:rFonts w:hint="eastAsia" w:ascii="仿宋" w:hAnsi="仿宋" w:eastAsia="仿宋" w:cs="仿宋"/>
          <w:color w:val="000000"/>
          <w:sz w:val="28"/>
          <w:szCs w:val="28"/>
        </w:rPr>
        <w:t>竞争性谈判文件的发售期限不得少于3个工作日；从谈判文件发出之日起至供应商提交首次响应文件截止之日止不得少于5个工作日。</w:t>
      </w:r>
    </w:p>
    <w:p w14:paraId="08D1FEE9">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第五条 竞争性磋商，是指磋商小组与符合条件的供应商就货物、服务和工程采购事宜进行磋商，供应商按照磋商文件的要求提交响应文件和报价，磋商小组对磋商文件进行评审和比较，以综合评分法确定成交供应商的采购方式。</w:t>
      </w:r>
    </w:p>
    <w:p w14:paraId="6C3FA57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符合下列情形之一的项目，可采用竞争性磋商方式采购：</w:t>
      </w:r>
    </w:p>
    <w:p w14:paraId="7BB90ED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（一）政府购买服务项目；</w:t>
      </w:r>
    </w:p>
    <w:p w14:paraId="6DF65EDB">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（二）技术复杂或者性质特殊，不能确定详细规格或者具体要求的；</w:t>
      </w:r>
    </w:p>
    <w:p w14:paraId="5CFAB04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（三）因艺术品采购、专利、专有技术或者服务的时间、数量事先不能确定等原因不能事先计算出价格总额的；</w:t>
      </w:r>
    </w:p>
    <w:p w14:paraId="180A675E">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（四）市场竞争不充分的科研项目，以及需要扶持的科技成果转化项目；</w:t>
      </w:r>
    </w:p>
    <w:p w14:paraId="26752E0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（五）按照招标投标法及其实施条例必须进行招标的工程建设项目以外的工程建设项目。</w:t>
      </w:r>
    </w:p>
    <w:p w14:paraId="48B3AC24">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竞争性磋商文件的发售期限不得少于5个工作日；从磋商文件发出之日起至供应商提交首次响应文件截止之日止不得少于10日。</w:t>
      </w:r>
    </w:p>
    <w:p w14:paraId="6D74A95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第六条 询价采购，是指采购人向符合资格条件的供应商发出询价通知书，要求供应商一次报出不得更改的价格，采购人从询价小组提出的成交候选人中确定成交供应商的货物采购方式。</w:t>
      </w:r>
    </w:p>
    <w:p w14:paraId="11333A6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询价采购适用于货源充足，规格、标准统一，价格变化幅度小的采购项目。</w:t>
      </w:r>
    </w:p>
    <w:p w14:paraId="02ED9B39">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80"/>
        <w:jc w:val="both"/>
      </w:pPr>
      <w:r>
        <w:rPr>
          <w:rFonts w:hint="eastAsia" w:ascii="仿宋" w:hAnsi="仿宋" w:eastAsia="仿宋" w:cs="仿宋"/>
          <w:color w:val="000000"/>
          <w:sz w:val="28"/>
          <w:szCs w:val="28"/>
        </w:rPr>
        <w:t>询价采购文件的发售期限不得少于3个工作日；从询价采购文件发出之日起至供应商提交响应文件截止之日止不得少于5个工作日。</w:t>
      </w:r>
    </w:p>
    <w:p w14:paraId="4D32CD1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第七条 单一来源采购是指采购人从某一特定供应商处采购货物、服务和工程的采购方式。</w:t>
      </w:r>
    </w:p>
    <w:p w14:paraId="73FAF5A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00"/>
        <w:jc w:val="both"/>
      </w:pPr>
      <w:r>
        <w:rPr>
          <w:rFonts w:hint="eastAsia" w:ascii="仿宋" w:hAnsi="仿宋" w:eastAsia="仿宋" w:cs="仿宋"/>
          <w:color w:val="000000"/>
          <w:sz w:val="28"/>
          <w:szCs w:val="28"/>
        </w:rPr>
        <w:t>符合下列情形之一的货物或者服务，可采用单一来源方式采购：</w:t>
      </w:r>
    </w:p>
    <w:p w14:paraId="32BA883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（一）只能从唯一供应商处采购的；</w:t>
      </w:r>
    </w:p>
    <w:p w14:paraId="690AC30E">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628"/>
        <w:jc w:val="both"/>
      </w:pPr>
      <w:r>
        <w:rPr>
          <w:rFonts w:hint="eastAsia" w:ascii="仿宋" w:hAnsi="仿宋" w:eastAsia="仿宋" w:cs="仿宋"/>
          <w:color w:val="000000"/>
          <w:sz w:val="28"/>
          <w:szCs w:val="28"/>
        </w:rPr>
        <w:t>（二）因工作需要，采购或租赁特定地点办公用房的；</w:t>
      </w:r>
    </w:p>
    <w:p w14:paraId="32E32D54">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（三）特殊领域的课题研究，需要委托该领域或具有领先地位的学术机构或自然人开展研究的；</w:t>
      </w:r>
    </w:p>
    <w:p w14:paraId="152CC70B">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（四）邀请具有特定专业素养、特定资质文化、艺术专业人士、机构表演或参与文化活动的；</w:t>
      </w:r>
    </w:p>
    <w:p w14:paraId="05CD0DFB">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（五）发生了不可预见的紧急情况，不能从其他供应商处采购的；</w:t>
      </w:r>
    </w:p>
    <w:p w14:paraId="7FD3CFEC">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（六）必须保证原有采购项目一致性或者服务配套的要求，需要继续从原供应商处添购，且添购资金总额不超过原合同采购金额10%的采购项目；</w:t>
      </w:r>
    </w:p>
    <w:p w14:paraId="1589D48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（七）已采用其他公开方式实施两次，均只有一家供应商报名或实质性响应采购需求，且无供应商在法定期限内提出质疑、投诉，或质疑、投诉不成立的；</w:t>
      </w:r>
    </w:p>
    <w:p w14:paraId="27FE16E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（八）其他依法只能从唯一供应商处采购的。</w:t>
      </w:r>
    </w:p>
    <w:p w14:paraId="69E843A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单一来源采购公示期不得少于5个工作日。</w:t>
      </w:r>
    </w:p>
    <w:p w14:paraId="316CB915">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第八条 协议采购，是指采购人通过公开征集的方式确定协议供货商，在协议有效期内，由采购人根据一定规则确定成交供应商的货物、服务和工程采购方式。</w:t>
      </w:r>
    </w:p>
    <w:p w14:paraId="715753B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协议采购适用于同一品目或同一采购项目年度内需要多频次采购且采购数量、采购时间等不确定，单笔采购预算金额低于20万元，由多家供应商承接有利于项目实施和提高项目绩效的采购。</w:t>
      </w:r>
    </w:p>
    <w:p w14:paraId="4F993A75">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协议采购文件的发售期限不得少于5个工作日；自协议采购文件发布之日起至供应商提交响应文件截止之日止，不得少于20日。</w:t>
      </w:r>
    </w:p>
    <w:p w14:paraId="06C0EC1C">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72"/>
        <w:jc w:val="both"/>
      </w:pPr>
      <w:r>
        <w:rPr>
          <w:rFonts w:hint="eastAsia" w:ascii="仿宋" w:hAnsi="仿宋" w:eastAsia="仿宋" w:cs="仿宋"/>
          <w:color w:val="000000"/>
          <w:sz w:val="28"/>
          <w:szCs w:val="28"/>
        </w:rPr>
        <w:t>第九条 比选采购，是指以公告的形式公开征集或书面邀请合格供应商，通过评审确定成交供应商的货物、服务采购方式。</w:t>
      </w:r>
    </w:p>
    <w:p w14:paraId="70A3A4C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比选采购适用于预算金额在10万元及以上、20万元以下且可指标化响应的采购项目。原则上由数字化采购平台进行自动评审，若有需要可组织专家复审。</w:t>
      </w:r>
    </w:p>
    <w:p w14:paraId="72DBC4A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比选文件的发售期限不得少于3个工作日。自比选文件发布之日起至供应商提交响应文件截止之日止，不得少于6日。</w:t>
      </w:r>
    </w:p>
    <w:p w14:paraId="06674DF3">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第十条 采购项目获得立项批准后，由经费管理部门组织通过资产管理平台提出采购申请并提交采购需求文件，工程项目还需提供施工图纸等资料。采购需求文件应完整、明确，主要包括：</w:t>
      </w:r>
    </w:p>
    <w:p w14:paraId="7BE48A4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（一）采购标的、需实现的相关功能或目标，以及需满足的各类资质要求；</w:t>
      </w:r>
    </w:p>
    <w:p w14:paraId="697FD0CE">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（二）采购标的须执行的国家相关标准、行业标准、地方标准或其他标准、规范；</w:t>
      </w:r>
    </w:p>
    <w:p w14:paraId="3D1A216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（三）采购标的需满足的质量、安全、技术规格、服务标准、期限、效率等要求；</w:t>
      </w:r>
    </w:p>
    <w:p w14:paraId="2F7C8BC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（四）采购标的范围、数量、项目实施或交付的时间和地点；</w:t>
      </w:r>
    </w:p>
    <w:p w14:paraId="0ED22566">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（五）采购标的验收标准、付款方式、售后服务、质量保证等。</w:t>
      </w:r>
    </w:p>
    <w:p w14:paraId="50C09CC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第十一条 采购申请经审核后，由资产管理处确定采购组织形式和采购方式，并组织编制采购文件。采购文件应主要包括供应商资格条件、采购预算、采购需求、评审方法、报价要求以及响应文件编制要求等内容。</w:t>
      </w:r>
    </w:p>
    <w:p w14:paraId="1E18CA37">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第十二条 经费管理部门对采购预算、技术要求、评审方法、报价要求和主要合同条款等实质性内容予以确认，资产管理处对采购文件编制的规范性进行审核；需要专家评审的，由资产管理处委托招标代理机构从相应专家库中随机抽取专家进行审核。</w:t>
      </w:r>
    </w:p>
    <w:p w14:paraId="2BB85DC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工程项目招标文件中的工程量清单，由资产管理处组织各相关部门进行确认。</w:t>
      </w:r>
    </w:p>
    <w:p w14:paraId="22B782E8">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第十三条 采购项目根据需要，由资产管理处和招标代理机构统一组织投标人进行项目现场勘察或召集现场答疑会。</w:t>
      </w:r>
    </w:p>
    <w:p w14:paraId="674222E4">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第十四条 资产管理处可对已发出的采购文件进行必要的澄清或修改；澄清或修改的内容可能影响响应文件编制的，应在提交首次响应文件截止之日3个工作日前，以书面形式通知所有潜在投标人，不足3个工作日的，应顺延提交首次响应文件截止投标的截止时间之日。</w:t>
      </w:r>
    </w:p>
    <w:p w14:paraId="6DB5AC7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第十五条 由资产管理处委托招标代理机构采购的项目，由招标代理机构按规定组织开展非招标采购活动。</w:t>
      </w:r>
    </w:p>
    <w:p w14:paraId="13FB8B98">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 xml:space="preserve">第十六条 除智能比选采购方式外，采购评审小组由学校采购人代表和评审专家共3人及以上的单数组成，其中评审专家的人数不得少于成员总数的2/3。 </w:t>
      </w:r>
    </w:p>
    <w:p w14:paraId="1BAF03AA">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（一）评审专家按相关规定从相应专家库中随机抽取产生。</w:t>
      </w:r>
    </w:p>
    <w:p w14:paraId="346C1F29">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二）学校采购人代表一般为经费负责人或经费管理部门负责人，应由采购人代表所属部门出具书面确认函，并办理学校委托证明；如经费管理部门推荐其他人的，资产管理处应对被推荐人进行资格审查。原则上经费管理部门可派遣1名代表参加评审。</w:t>
      </w:r>
    </w:p>
    <w:p w14:paraId="1BCF3EA4">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第十七条 除协议采购、智能比选采购方式外，原则上按评审报告推荐的顺序确定排名第一的成交候选人为成交供应商。排名第一的成交候选人放弃中标的，可按采购评审小组提出的成交候选人名单排序依次确定其他成交候选人为成交人，也可重新组织采购。</w:t>
      </w:r>
    </w:p>
    <w:p w14:paraId="326466B0">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第十八条 采用智能比选采购方式的，由系统自动评审按序推荐1～3名候选供应商，原则上应选择排名第一的供应商为成交供应商。选择其他供应商的，由项目负责人说明理由，资产管理处组织专家复审。</w:t>
      </w:r>
    </w:p>
    <w:p w14:paraId="413C0BE8">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第十九条 由资产管理处委托招标代理机构采购的项目，由招标代理机构在规定的媒体上发布成交结果公告，学校信息公开栏目同步进行公示；比选采购成交结果公告，由资产管理处在学校信息公开栏目上发布。</w:t>
      </w:r>
    </w:p>
    <w:p w14:paraId="5142679F">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第二十条 成交结果公告应主要包括项目名称、项目编号，成交金额，成交供应商名称、地址，主要成交标的名称、规格型号、数量、单价、服务要求，采购评审小组名单，采购人及其委托的采购代理公司的名称、地址、联系方式等内容。公告不得少于1个工作日。</w:t>
      </w:r>
    </w:p>
    <w:p w14:paraId="529AF421">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 xml:space="preserve">第二十一条 成交结果公告发布后，方可向成交供应商发出成交通知书。 </w:t>
      </w:r>
    </w:p>
    <w:p w14:paraId="2537F6F5">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第二十二条 本办法未尽事项，按国家和地方法律法规执行。</w:t>
      </w:r>
    </w:p>
    <w:p w14:paraId="092606C6">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第二十三条 本办法由资产管理处负责解释。</w:t>
      </w:r>
    </w:p>
    <w:p w14:paraId="2C9012DD">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92"/>
        <w:jc w:val="both"/>
      </w:pPr>
      <w:r>
        <w:rPr>
          <w:rFonts w:hint="eastAsia" w:ascii="仿宋" w:hAnsi="仿宋" w:eastAsia="仿宋" w:cs="仿宋"/>
          <w:color w:val="000000"/>
          <w:sz w:val="28"/>
          <w:szCs w:val="28"/>
        </w:rPr>
        <w:t>第二十四条 本办法自2025年7月1日起施行，原《上海电子信息职业技术学院招投标管理办法（试行）》(沪电信职院〔2021〕14号)同时废止。</w:t>
      </w:r>
    </w:p>
    <w:p w14:paraId="5A7DD08E">
      <w:pPr>
        <w:pStyle w:val="4"/>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560"/>
        <w:jc w:val="both"/>
      </w:pPr>
      <w:r>
        <w:t> </w:t>
      </w:r>
    </w:p>
    <w:p w14:paraId="400358A9">
      <w:pPr>
        <w:rPr>
          <w:rFonts w:eastAsia="黑体"/>
          <w:b/>
          <w:sz w:val="30"/>
          <w:szCs w:val="30"/>
        </w:rPr>
      </w:pPr>
    </w:p>
    <w:p w14:paraId="7A4A95E0">
      <w:pPr>
        <w:spacing w:line="580" w:lineRule="exact"/>
        <w:ind w:left="0" w:leftChars="0" w:firstLine="0" w:firstLineChars="0"/>
        <w:rPr>
          <w:rFonts w:hint="eastAsia"/>
          <w:color w:val="auto"/>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2" name="Line 3"/>
                <wp:cNvGraphicFramePr/>
                <a:graphic xmlns:a="http://schemas.openxmlformats.org/drawingml/2006/main">
                  <a:graphicData uri="http://schemas.microsoft.com/office/word/2010/wordprocessingShape">
                    <wps:wsp>
                      <wps:cNvCnPr>
                        <a:cxnSpLocks noChangeShapeType="1"/>
                      </wps:cNvCnPr>
                      <wps:spPr bwMode="auto">
                        <a:xfrm>
                          <a:off x="0" y="0"/>
                          <a:ext cx="5324475" cy="0"/>
                        </a:xfrm>
                        <a:prstGeom prst="line">
                          <a:avLst/>
                        </a:prstGeom>
                        <a:noFill/>
                        <a:ln w="19050">
                          <a:solidFill>
                            <a:srgbClr val="000000"/>
                          </a:solidFill>
                          <a:round/>
                        </a:ln>
                      </wps:spPr>
                      <wps:bodyPr/>
                    </wps:wsp>
                  </a:graphicData>
                </a:graphic>
              </wp:anchor>
            </w:drawing>
          </mc:Choice>
          <mc:Fallback>
            <w:pict>
              <v:line id="Line 3" o:spid="_x0000_s1026" o:spt="20" style="position:absolute;left:0pt;margin-left:0pt;margin-top:31.1pt;height:0pt;width:419.25pt;z-index:251659264;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ksVy4dMAAAAGAQAADwAAAAAAAAABACAAAAAiAAAAZHJzL2Rvd25y&#10;ZXYueG1sUEsBAhQAFAAAAAgAh07iQPOH3kjKAQAAoAMAAA4AAAAAAAAAAQAgAAAAIgEAAGRycy9l&#10;Mm9Eb2MueG1sUEsFBgAAAAAGAAYAWQEAAF4FAAAAAA==&#10;">
                <v:fill on="f" focussize="0,0"/>
                <v:stroke weight="1.5pt"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3" name="Line 2"/>
                <wp:cNvGraphicFramePr/>
                <a:graphic xmlns:a="http://schemas.openxmlformats.org/drawingml/2006/main">
                  <a:graphicData uri="http://schemas.microsoft.com/office/word/2010/wordprocessingShape">
                    <wps:wsp>
                      <wps:cNvCnPr>
                        <a:cxnSpLocks noChangeShapeType="1"/>
                      </wps:cNvCnPr>
                      <wps:spPr bwMode="auto">
                        <a:xfrm>
                          <a:off x="0" y="0"/>
                          <a:ext cx="5330825" cy="127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5pt;margin-top:-0.1pt;height:0.1pt;width:419.75pt;z-index:251660288;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06fNu1AAAAAUBAAAPAAAAAAAAAAEAIAAAACIAAABkcnMvZG93&#10;bnJldi54bWxQSwECFAAUAAAACACHTuJAMiLLU8sBAACiAwAADgAAAAAAAAABACAAAAAjAQAAZHJz&#10;L2Uyb0RvYy54bWxQSwUGAAAAAAYABgBZAQAAYAUAAAAA&#10;">
                <v:fill on="f" focussize="0,0"/>
                <v:stroke color="#000000" joinstyle="round"/>
                <v:imagedata o:title=""/>
                <o:lock v:ext="edit" aspectratio="f"/>
              </v:line>
            </w:pict>
          </mc:Fallback>
        </mc:AlternateContent>
      </w:r>
      <w:r>
        <w:rPr>
          <w:rFonts w:hint="eastAsia" w:ascii="方正仿宋_GB2312" w:hAnsi="方正仿宋_GB2312" w:eastAsia="方正仿宋_GB2312" w:cs="方正仿宋_GB2312"/>
          <w:bCs/>
          <w:sz w:val="30"/>
          <w:szCs w:val="32"/>
          <w:lang w:val="en-US" w:eastAsia="zh-CN"/>
        </w:rPr>
        <w:t>上海电子信息职业技术学院办公室     2025年6月18日印发</w:t>
      </w:r>
    </w:p>
    <w:p w14:paraId="23850E3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258448-C1CD-4EF5-AC57-C4DE5BF2AD4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embedRegular r:id="rId2" w:fontKey="{A5FFE45F-CBE3-4D56-988A-B7A870875B14}"/>
  </w:font>
  <w:font w:name="仿宋">
    <w:panose1 w:val="02010609060101010101"/>
    <w:charset w:val="86"/>
    <w:family w:val="auto"/>
    <w:pitch w:val="default"/>
    <w:sig w:usb0="800002BF" w:usb1="38CF7CFA" w:usb2="00000016" w:usb3="00000000" w:csb0="00040001" w:csb1="00000000"/>
    <w:embedRegular r:id="rId3" w:fontKey="{204F14EE-1EAD-4CEE-9AB3-E7A8C91967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0FD73">
    <w:pPr>
      <w:pStyle w:val="2"/>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63F4D6">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863F4D6">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FFE5D">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DFB4E">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69035">
    <w:pP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5134B">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249AC">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3F7E80"/>
    <w:rsid w:val="44C47F41"/>
    <w:rsid w:val="4D3F7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customStyle="1" w:styleId="7">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3577</Words>
  <Characters>3601</Characters>
  <Lines>0</Lines>
  <Paragraphs>0</Paragraphs>
  <TotalTime>0</TotalTime>
  <ScaleCrop>false</ScaleCrop>
  <LinksUpToDate>false</LinksUpToDate>
  <CharactersWithSpaces>3746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2025-06-18T06:35:00Z</dcterms:created>
  <dc:creator>李夏</dc:creator>
  <cp:lastModifiedBy>李夏</cp:lastModifiedBy>
  <dcterms:modified xsi:type="dcterms:W3CDTF">2025-06-18T06:39:56Z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FFF4017251844351BB5873D5A27C69D2_11</vt:lpwstr>
  </property>
  <property fmtid="{D5CDD505-2E9C-101B-9397-08002B2CF9AE}" pid="4" name="KSOTemplateDocerSaveRecord">
    <vt:lpwstr>eyJoZGlkIjoiYWMzMmY1NDE3MzFlN2RhZWViZWJjM2Q1NjgxNjQ4ZWYiLCJ1c2VySWQiOiIxNjgyMjQ1MzU0In0=</vt:lpwstr>
  </property>
</Properties>
</file>