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00" w:after="200" w:line="288" w:lineRule="auto"/>
        <w:jc w:val="center"/>
        <w:rPr>
          <w:rFonts w:ascii="Times New Roman" w:hAnsi="Times New Roman" w:eastAsia="楷体_GB2312"/>
        </w:rPr>
      </w:pPr>
      <w:bookmarkStart w:id="0" w:name="_GoBack"/>
      <w:r>
        <w:rPr>
          <w:rFonts w:ascii="Times New Roman" w:hAnsi="Times New Roman" w:eastAsia="楷体_GB2312"/>
        </w:rPr>
        <w:t>201</w:t>
      </w:r>
      <w:r>
        <w:rPr>
          <w:rFonts w:hint="eastAsia" w:ascii="Times New Roman" w:hAnsi="Times New Roman" w:eastAsia="楷体_GB2312"/>
        </w:rPr>
        <w:t>9</w:t>
      </w:r>
      <w:r>
        <w:rPr>
          <w:rFonts w:ascii="Times New Roman" w:hAnsi="Times New Roman" w:eastAsia="楷体_GB2312"/>
        </w:rPr>
        <w:t>年度</w:t>
      </w:r>
      <w:r>
        <w:rPr>
          <w:rFonts w:hint="eastAsia" w:ascii="Times New Roman" w:hAnsi="Times New Roman" w:eastAsia="楷体_GB2312"/>
        </w:rPr>
        <w:t>评教评学</w:t>
      </w:r>
      <w:r>
        <w:rPr>
          <w:rFonts w:ascii="Times New Roman" w:hAnsi="Times New Roman" w:eastAsia="楷体_GB2312"/>
        </w:rPr>
        <w:t>工作概况</w:t>
      </w:r>
    </w:p>
    <w:bookmarkEnd w:id="0"/>
    <w:p>
      <w:pPr>
        <w:spacing w:line="288" w:lineRule="auto"/>
        <w:ind w:firstLine="482"/>
        <w:rPr>
          <w:rFonts w:eastAsia="仿宋_GB2312"/>
          <w:sz w:val="24"/>
        </w:rPr>
      </w:pPr>
      <w:r>
        <w:rPr>
          <w:rFonts w:eastAsia="仿宋_GB2312"/>
          <w:sz w:val="24"/>
        </w:rPr>
        <w:t>一、评教</w:t>
      </w:r>
      <w:r>
        <w:rPr>
          <w:rFonts w:hint="eastAsia" w:eastAsia="仿宋_GB2312"/>
          <w:sz w:val="24"/>
        </w:rPr>
        <w:t>工作</w:t>
      </w:r>
    </w:p>
    <w:p>
      <w:pPr>
        <w:spacing w:line="288" w:lineRule="auto"/>
        <w:ind w:firstLine="482"/>
        <w:rPr>
          <w:rFonts w:eastAsia="仿宋_GB2312"/>
          <w:sz w:val="24"/>
        </w:rPr>
      </w:pPr>
      <w:r>
        <w:rPr>
          <w:rFonts w:eastAsia="仿宋_GB2312"/>
          <w:sz w:val="24"/>
        </w:rPr>
        <w:t>201</w:t>
      </w:r>
      <w:r>
        <w:rPr>
          <w:rFonts w:hint="eastAsia" w:eastAsia="仿宋_GB2312"/>
          <w:sz w:val="24"/>
        </w:rPr>
        <w:t>9</w:t>
      </w:r>
      <w:r>
        <w:rPr>
          <w:rFonts w:eastAsia="仿宋_GB2312"/>
          <w:sz w:val="24"/>
        </w:rPr>
        <w:t>年度</w:t>
      </w:r>
      <w:r>
        <w:rPr>
          <w:rFonts w:hint="eastAsia" w:eastAsia="仿宋_GB2312"/>
          <w:sz w:val="24"/>
        </w:rPr>
        <w:t>学院</w:t>
      </w:r>
      <w:r>
        <w:rPr>
          <w:rFonts w:eastAsia="仿宋_GB2312"/>
          <w:sz w:val="24"/>
        </w:rPr>
        <w:t>组织开展了4次学生网上评教，</w:t>
      </w:r>
      <w:r>
        <w:rPr>
          <w:rFonts w:hint="eastAsia" w:eastAsia="仿宋_GB2312"/>
          <w:sz w:val="24"/>
        </w:rPr>
        <w:t>本</w:t>
      </w:r>
      <w:r>
        <w:rPr>
          <w:rFonts w:eastAsia="仿宋_GB2312"/>
          <w:sz w:val="24"/>
        </w:rPr>
        <w:t>学年学院共有</w:t>
      </w:r>
      <w:r>
        <w:rPr>
          <w:rFonts w:hint="eastAsia" w:eastAsia="仿宋_GB2312"/>
          <w:sz w:val="24"/>
        </w:rPr>
        <w:t>214</w:t>
      </w:r>
      <w:r>
        <w:rPr>
          <w:rFonts w:eastAsia="仿宋_GB2312"/>
          <w:sz w:val="24"/>
        </w:rPr>
        <w:t>个班级的所有学生对</w:t>
      </w:r>
      <w:r>
        <w:rPr>
          <w:rFonts w:hint="eastAsia" w:eastAsia="仿宋_GB2312"/>
          <w:sz w:val="24"/>
        </w:rPr>
        <w:t>530</w:t>
      </w:r>
      <w:r>
        <w:rPr>
          <w:rFonts w:eastAsia="仿宋_GB2312"/>
          <w:sz w:val="24"/>
        </w:rPr>
        <w:t>位教师进行教学测评，学生测评原始记录</w:t>
      </w:r>
      <w:r>
        <w:rPr>
          <w:rFonts w:hint="eastAsia" w:eastAsia="仿宋_GB2312"/>
          <w:sz w:val="24"/>
        </w:rPr>
        <w:t>约24万</w:t>
      </w:r>
      <w:r>
        <w:rPr>
          <w:rFonts w:eastAsia="仿宋_GB2312"/>
          <w:sz w:val="24"/>
        </w:rPr>
        <w:t>余条；</w:t>
      </w:r>
      <w:r>
        <w:rPr>
          <w:rFonts w:hint="eastAsia" w:eastAsia="仿宋_GB2312"/>
          <w:sz w:val="24"/>
        </w:rPr>
        <w:t>教务处组织</w:t>
      </w:r>
      <w:r>
        <w:rPr>
          <w:rFonts w:eastAsia="仿宋_GB2312"/>
          <w:sz w:val="24"/>
        </w:rPr>
        <w:t>各教学单位开展</w:t>
      </w:r>
      <w:r>
        <w:rPr>
          <w:rFonts w:hint="eastAsia" w:eastAsia="仿宋_GB2312"/>
          <w:sz w:val="24"/>
        </w:rPr>
        <w:t>了</w:t>
      </w:r>
      <w:r>
        <w:rPr>
          <w:rFonts w:eastAsia="仿宋_GB2312"/>
          <w:sz w:val="24"/>
        </w:rPr>
        <w:t>2次同行、领导专家评教工作，汇总整理了本年度每位任课教师的学期和年度的学生、同行、领导</w:t>
      </w: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专家</w:t>
      </w:r>
      <w:r>
        <w:rPr>
          <w:rFonts w:hint="eastAsia" w:eastAsia="仿宋_GB2312"/>
          <w:sz w:val="24"/>
        </w:rPr>
        <w:t>）</w:t>
      </w:r>
      <w:r>
        <w:rPr>
          <w:rFonts w:eastAsia="仿宋_GB2312"/>
          <w:sz w:val="24"/>
        </w:rPr>
        <w:t>三方评教数据，按4:3:3的权重分别计算出每位任课教师的学期</w:t>
      </w:r>
      <w:r>
        <w:rPr>
          <w:rFonts w:hint="eastAsia" w:eastAsia="仿宋_GB2312"/>
          <w:sz w:val="24"/>
        </w:rPr>
        <w:t>与</w:t>
      </w:r>
      <w:r>
        <w:rPr>
          <w:rFonts w:eastAsia="仿宋_GB2312"/>
          <w:sz w:val="24"/>
        </w:rPr>
        <w:t>年度平均分及排名，并分发给各教学单位。</w:t>
      </w:r>
    </w:p>
    <w:p>
      <w:pPr>
        <w:spacing w:after="156" w:afterLines="50"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201</w:t>
      </w:r>
      <w:r>
        <w:rPr>
          <w:rFonts w:hint="eastAsia" w:eastAsia="仿宋_GB2312"/>
          <w:sz w:val="24"/>
        </w:rPr>
        <w:t>9</w:t>
      </w:r>
      <w:r>
        <w:rPr>
          <w:rFonts w:eastAsia="仿宋_GB2312"/>
          <w:sz w:val="24"/>
        </w:rPr>
        <w:t>年度教师教学质量评价汇总表</w:t>
      </w:r>
    </w:p>
    <w:tbl>
      <w:tblPr>
        <w:tblStyle w:val="6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21"/>
        <w:gridCol w:w="1089"/>
        <w:gridCol w:w="1089"/>
        <w:gridCol w:w="1089"/>
        <w:gridCol w:w="776"/>
        <w:gridCol w:w="1089"/>
        <w:gridCol w:w="1089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1621" w:type="dxa"/>
            <w:vMerge w:val="restart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学期</w:t>
            </w:r>
          </w:p>
        </w:tc>
        <w:tc>
          <w:tcPr>
            <w:tcW w:w="4043" w:type="dxa"/>
            <w:gridSpan w:val="4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任课教师</w:t>
            </w:r>
          </w:p>
        </w:tc>
        <w:tc>
          <w:tcPr>
            <w:tcW w:w="3267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评教结果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教师总数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专任教师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校内兼课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外聘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院平均分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院最高分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院最低分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~201</w:t>
            </w:r>
            <w:r>
              <w:rPr>
                <w:rFonts w:hint="eastAsia" w:eastAsia="仿宋_GB2312"/>
                <w:szCs w:val="21"/>
              </w:rPr>
              <w:t>9</w:t>
            </w:r>
            <w:r>
              <w:rPr>
                <w:rFonts w:eastAsia="仿宋_GB2312"/>
                <w:szCs w:val="21"/>
              </w:rPr>
              <w:t>（二）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369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236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52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81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90.95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96.29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76.35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9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（一）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389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252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51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86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90.58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96.64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79.79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9</w:t>
            </w:r>
            <w:r>
              <w:rPr>
                <w:rFonts w:eastAsia="仿宋_GB2312"/>
                <w:szCs w:val="21"/>
              </w:rPr>
              <w:t>年度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469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270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68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131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90.67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96.24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81.46</w:t>
            </w:r>
          </w:p>
        </w:tc>
      </w:tr>
    </w:tbl>
    <w:p>
      <w:pPr>
        <w:spacing w:before="312" w:beforeLines="100" w:line="288" w:lineRule="auto"/>
        <w:jc w:val="center"/>
        <w:rPr>
          <w:rFonts w:hint="eastAsia" w:eastAsia="仿宋_GB2312"/>
          <w:color w:val="FF0000"/>
          <w:sz w:val="24"/>
        </w:rPr>
      </w:pPr>
      <w:r>
        <w:drawing>
          <wp:inline distT="0" distB="0" distL="0" distR="0">
            <wp:extent cx="5629275" cy="3552825"/>
            <wp:effectExtent l="0" t="0" r="9525" b="952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spacing w:before="312" w:beforeLines="100" w:line="288" w:lineRule="auto"/>
        <w:jc w:val="center"/>
        <w:rPr>
          <w:rFonts w:hint="eastAsia" w:eastAsia="仿宋_GB2312"/>
          <w:sz w:val="24"/>
        </w:rPr>
      </w:pPr>
    </w:p>
    <w:p>
      <w:pPr>
        <w:spacing w:before="312" w:beforeLines="100" w:line="288" w:lineRule="auto"/>
        <w:jc w:val="center"/>
        <w:rPr>
          <w:rFonts w:hint="eastAsia" w:eastAsia="仿宋_GB2312"/>
          <w:sz w:val="24"/>
        </w:rPr>
      </w:pPr>
    </w:p>
    <w:p>
      <w:pPr>
        <w:spacing w:before="312" w:beforeLines="100" w:line="288" w:lineRule="auto"/>
        <w:jc w:val="center"/>
        <w:rPr>
          <w:rFonts w:hint="eastAsia" w:eastAsia="仿宋_GB2312"/>
          <w:sz w:val="24"/>
        </w:rPr>
      </w:pPr>
    </w:p>
    <w:p>
      <w:pPr>
        <w:spacing w:before="312" w:beforeLines="100" w:line="288" w:lineRule="auto"/>
        <w:jc w:val="center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2019年度任课教师发布情况</w:t>
      </w:r>
    </w:p>
    <w:p>
      <w:pPr>
        <w:spacing w:before="156" w:beforeLines="50" w:after="156" w:afterLines="50" w:line="288" w:lineRule="auto"/>
        <w:jc w:val="center"/>
        <w:rPr>
          <w:rFonts w:eastAsia="仿宋_GB2312"/>
          <w:color w:val="FF0000"/>
          <w:sz w:val="24"/>
        </w:rPr>
      </w:pPr>
      <w:r>
        <w:drawing>
          <wp:inline distT="0" distB="0" distL="0" distR="0">
            <wp:extent cx="2266950" cy="1517015"/>
            <wp:effectExtent l="0" t="0" r="19050" b="26035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>
        <w:rPr>
          <w:rFonts w:hint="eastAsia"/>
          <w:color w:val="FF0000"/>
        </w:rPr>
        <w:t xml:space="preserve">   </w:t>
      </w:r>
      <w:r>
        <w:drawing>
          <wp:inline distT="0" distB="0" distL="0" distR="0">
            <wp:extent cx="2233295" cy="1552575"/>
            <wp:effectExtent l="0" t="0" r="14605" b="952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spacing w:before="156" w:beforeLines="50" w:after="156" w:afterLines="50" w:line="288" w:lineRule="auto"/>
        <w:jc w:val="center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各教学单位201</w:t>
      </w:r>
      <w:r>
        <w:rPr>
          <w:rFonts w:hint="eastAsia" w:eastAsia="仿宋_GB2312"/>
          <w:b/>
          <w:sz w:val="24"/>
        </w:rPr>
        <w:t>9</w:t>
      </w:r>
      <w:r>
        <w:rPr>
          <w:rFonts w:eastAsia="仿宋_GB2312"/>
          <w:b/>
          <w:sz w:val="24"/>
        </w:rPr>
        <w:t>年度教师教学质量评价汇总表</w:t>
      </w:r>
    </w:p>
    <w:tbl>
      <w:tblPr>
        <w:tblStyle w:val="7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483"/>
        <w:gridCol w:w="850"/>
        <w:gridCol w:w="1276"/>
        <w:gridCol w:w="851"/>
        <w:gridCol w:w="1275"/>
        <w:gridCol w:w="851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vMerge w:val="restart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序号</w:t>
            </w:r>
          </w:p>
        </w:tc>
        <w:tc>
          <w:tcPr>
            <w:tcW w:w="248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　</w:t>
            </w:r>
          </w:p>
        </w:tc>
        <w:tc>
          <w:tcPr>
            <w:tcW w:w="2126" w:type="dxa"/>
            <w:gridSpan w:val="2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201</w:t>
            </w:r>
            <w:r>
              <w:rPr>
                <w:rFonts w:hint="eastAsia" w:eastAsia="仿宋_GB2312"/>
                <w:sz w:val="20"/>
                <w:szCs w:val="20"/>
              </w:rPr>
              <w:t>8</w:t>
            </w:r>
            <w:r>
              <w:rPr>
                <w:rFonts w:eastAsia="仿宋_GB2312"/>
                <w:sz w:val="20"/>
                <w:szCs w:val="20"/>
              </w:rPr>
              <w:t>~201</w:t>
            </w:r>
            <w:r>
              <w:rPr>
                <w:rFonts w:hint="eastAsia" w:eastAsia="仿宋_GB2312"/>
                <w:sz w:val="20"/>
                <w:szCs w:val="20"/>
              </w:rPr>
              <w:t>9</w:t>
            </w:r>
            <w:r>
              <w:rPr>
                <w:rFonts w:eastAsia="仿宋_GB2312"/>
                <w:sz w:val="20"/>
                <w:szCs w:val="20"/>
              </w:rPr>
              <w:t>第2学期</w:t>
            </w:r>
          </w:p>
        </w:tc>
        <w:tc>
          <w:tcPr>
            <w:tcW w:w="2126" w:type="dxa"/>
            <w:gridSpan w:val="2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201</w:t>
            </w:r>
            <w:r>
              <w:rPr>
                <w:rFonts w:hint="eastAsia" w:eastAsia="仿宋_GB2312"/>
                <w:sz w:val="20"/>
                <w:szCs w:val="20"/>
              </w:rPr>
              <w:t>9</w:t>
            </w:r>
            <w:r>
              <w:rPr>
                <w:rFonts w:eastAsia="仿宋_GB2312"/>
                <w:sz w:val="20"/>
                <w:szCs w:val="20"/>
              </w:rPr>
              <w:t>~20</w:t>
            </w:r>
            <w:r>
              <w:rPr>
                <w:rFonts w:hint="eastAsia" w:eastAsia="仿宋_GB2312"/>
                <w:sz w:val="20"/>
                <w:szCs w:val="20"/>
              </w:rPr>
              <w:t>20</w:t>
            </w:r>
            <w:r>
              <w:rPr>
                <w:rFonts w:eastAsia="仿宋_GB2312"/>
                <w:sz w:val="20"/>
                <w:szCs w:val="20"/>
              </w:rPr>
              <w:t>第1学期</w:t>
            </w:r>
          </w:p>
        </w:tc>
        <w:tc>
          <w:tcPr>
            <w:tcW w:w="1860" w:type="dxa"/>
            <w:gridSpan w:val="2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201</w:t>
            </w:r>
            <w:r>
              <w:rPr>
                <w:rFonts w:hint="eastAsia" w:eastAsia="仿宋_GB2312"/>
                <w:sz w:val="20"/>
                <w:szCs w:val="20"/>
              </w:rPr>
              <w:t>9</w:t>
            </w:r>
            <w:r>
              <w:rPr>
                <w:rFonts w:eastAsia="仿宋_GB2312"/>
                <w:sz w:val="20"/>
                <w:szCs w:val="20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vMerge w:val="continue"/>
          </w:tcPr>
          <w:p>
            <w:pPr>
              <w:widowControl/>
              <w:jc w:val="left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48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部门</w:t>
            </w:r>
          </w:p>
        </w:tc>
        <w:tc>
          <w:tcPr>
            <w:tcW w:w="850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人数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平均分</w:t>
            </w:r>
          </w:p>
        </w:tc>
        <w:tc>
          <w:tcPr>
            <w:tcW w:w="851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人数</w:t>
            </w:r>
          </w:p>
        </w:tc>
        <w:tc>
          <w:tcPr>
            <w:tcW w:w="1275" w:type="dxa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平均分</w:t>
            </w:r>
          </w:p>
        </w:tc>
        <w:tc>
          <w:tcPr>
            <w:tcW w:w="851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人数</w:t>
            </w:r>
          </w:p>
        </w:tc>
        <w:tc>
          <w:tcPr>
            <w:tcW w:w="1009" w:type="dxa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电子技术与工程学院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90.91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90.84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通信与信息工程学院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90.99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90.78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90.87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3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机械与能源工程学院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91.04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90.75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4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经济与管理学院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91.18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90.82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5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中德工程学院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91.38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91.15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91.29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6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设计与艺术学院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91.27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91.16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7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外语学院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90.98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91.30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8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公共基础学院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91.68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91.22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9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马克思主义学院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90.81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90.91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  <w:r>
              <w:rPr>
                <w:rFonts w:hint="eastAsia" w:eastAsia="仿宋_GB2312"/>
                <w:sz w:val="20"/>
                <w:szCs w:val="20"/>
              </w:rPr>
              <w:t>1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外聘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90.24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89.00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131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89.70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  <w:r>
              <w:rPr>
                <w:rFonts w:hint="eastAsia" w:eastAsia="仿宋_GB2312"/>
                <w:sz w:val="20"/>
                <w:szCs w:val="20"/>
              </w:rPr>
              <w:t>2</w:t>
            </w:r>
          </w:p>
        </w:tc>
        <w:tc>
          <w:tcPr>
            <w:tcW w:w="248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校内兼课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91.25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91.31 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0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91.11 </w:t>
            </w:r>
          </w:p>
        </w:tc>
      </w:tr>
    </w:tbl>
    <w:p>
      <w:pPr>
        <w:spacing w:line="288" w:lineRule="auto"/>
        <w:ind w:firstLine="482"/>
        <w:rPr>
          <w:rFonts w:hint="eastAsia" w:eastAsia="仿宋_GB2312"/>
          <w:sz w:val="24"/>
        </w:rPr>
      </w:pPr>
    </w:p>
    <w:p>
      <w:pPr>
        <w:spacing w:line="288" w:lineRule="auto"/>
        <w:ind w:firstLine="48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二、评学工作</w:t>
      </w:r>
    </w:p>
    <w:p>
      <w:pPr>
        <w:spacing w:line="288" w:lineRule="auto"/>
        <w:ind w:firstLine="48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2019年组织开展了2次教师评学，参评教师约456人次、被评班级500个班次。教务处依据2500余条原始记录，对教师评学信息进行了整理、统计，生成了所有被评班级的学期平均分，汇总了教师的意见和建议，并将学期《教师评学情况汇总表》分发给了各教学单位。</w:t>
      </w:r>
    </w:p>
    <w:p>
      <w:pPr>
        <w:spacing w:line="288" w:lineRule="auto"/>
        <w:ind w:firstLine="482"/>
        <w:rPr>
          <w:rFonts w:eastAsia="仿宋_GB2312"/>
          <w:color w:val="FF0000"/>
          <w:sz w:val="24"/>
        </w:rPr>
      </w:pPr>
      <w:r>
        <w:rPr>
          <w:rFonts w:hint="eastAsia" w:eastAsia="仿宋_GB2312"/>
          <w:sz w:val="24"/>
        </w:rPr>
        <w:t>教师们认真参与了评学工作，并提出了意见和建议，主要涉及班风学风、教学管理、课程建设、教学设备等。其中，在班风学风方面提出：建议加强对学生的品德、行为规范、学生手册相关内容教育，尤其是加强贯通以及高本专业学生的学风管理。</w:t>
      </w:r>
      <w:r>
        <w:rPr>
          <w:rFonts w:eastAsia="仿宋_GB2312"/>
          <w:sz w:val="24"/>
        </w:rPr>
        <w:t>教学管理方面：</w:t>
      </w:r>
      <w:r>
        <w:rPr>
          <w:rFonts w:hint="eastAsia" w:eastAsia="仿宋_GB2312"/>
          <w:sz w:val="24"/>
        </w:rPr>
        <w:t>建议做好参赛学生的成绩管理工作，希望竞赛以及学校各项活动的开展不随意占用上课时间。课程建设方面：反映《电子电路分析及应用》课时较紧；希望《产品设计》、《绘本插图》课安排在机房教学等。教学设备方面：建议建立标准化的机械设计实验室；《电子技术实训》课更新拆装设备；建议E116实训室重新规划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5A7"/>
    <w:rsid w:val="000A7BD3"/>
    <w:rsid w:val="00166794"/>
    <w:rsid w:val="00196BC9"/>
    <w:rsid w:val="00327B5E"/>
    <w:rsid w:val="003D2A61"/>
    <w:rsid w:val="003D58CE"/>
    <w:rsid w:val="003E4C9F"/>
    <w:rsid w:val="00446BAF"/>
    <w:rsid w:val="004C4AAF"/>
    <w:rsid w:val="00637EE6"/>
    <w:rsid w:val="006B66B3"/>
    <w:rsid w:val="00763DC2"/>
    <w:rsid w:val="00776832"/>
    <w:rsid w:val="00786196"/>
    <w:rsid w:val="00876E1D"/>
    <w:rsid w:val="008E69A7"/>
    <w:rsid w:val="00911C9C"/>
    <w:rsid w:val="0093235D"/>
    <w:rsid w:val="009A0DD2"/>
    <w:rsid w:val="00A86C41"/>
    <w:rsid w:val="00AB2629"/>
    <w:rsid w:val="00AE6B6C"/>
    <w:rsid w:val="00B302F2"/>
    <w:rsid w:val="00B77E30"/>
    <w:rsid w:val="00BE3DE0"/>
    <w:rsid w:val="00BF27B8"/>
    <w:rsid w:val="00C2062B"/>
    <w:rsid w:val="00CA79D7"/>
    <w:rsid w:val="00CC0A42"/>
    <w:rsid w:val="00D50CCE"/>
    <w:rsid w:val="00D81A87"/>
    <w:rsid w:val="00DC3B35"/>
    <w:rsid w:val="00DE1BFD"/>
    <w:rsid w:val="00F022B8"/>
    <w:rsid w:val="00F375A7"/>
    <w:rsid w:val="00F71CD1"/>
    <w:rsid w:val="00FB011C"/>
    <w:rsid w:val="00FE311F"/>
    <w:rsid w:val="32E8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标题 2 Char"/>
    <w:basedOn w:val="8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2">
    <w:name w:val="批注框文本 Char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800" b="1" i="0" baseline="0">
                <a:effectLst/>
              </a:rPr>
              <a:t>2019</a:t>
            </a:r>
            <a:r>
              <a:rPr lang="zh-CN" altLang="zh-CN" sz="1800" b="1" i="0" baseline="0">
                <a:effectLst/>
              </a:rPr>
              <a:t>年度教师教学质量评价结果</a:t>
            </a:r>
            <a:endParaRPr lang="zh-CN" altLang="zh-CN">
              <a:effectLst/>
            </a:endParaRPr>
          </a:p>
        </c:rich>
      </c:tx>
      <c:layout/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2018~2019（二）</c:v>
                </c:pt>
              </c:strCache>
            </c:strRef>
          </c:tx>
          <c:invertIfNegative val="0"/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Sheet1!$G$1:$I$1</c:f>
              <c:strCache>
                <c:ptCount val="3"/>
                <c:pt idx="0">
                  <c:v>院平均分</c:v>
                </c:pt>
                <c:pt idx="1">
                  <c:v>院最高分</c:v>
                </c:pt>
                <c:pt idx="2">
                  <c:v>院最低分</c:v>
                </c:pt>
              </c:strCache>
            </c:strRef>
          </c:cat>
          <c:val>
            <c:numRef>
              <c:f>Sheet1!$G$2:$I$2</c:f>
              <c:numCache>
                <c:formatCode>General</c:formatCode>
                <c:ptCount val="3"/>
                <c:pt idx="0">
                  <c:v>90.95</c:v>
                </c:pt>
                <c:pt idx="1">
                  <c:v>96.29</c:v>
                </c:pt>
                <c:pt idx="2">
                  <c:v>76.35</c:v>
                </c:pt>
              </c:numCache>
            </c:numRef>
          </c:val>
        </c:ser>
        <c:ser>
          <c:idx val="1"/>
          <c:order val="1"/>
          <c:tx>
            <c:strRef>
              <c:f>Sheet1!$B$3</c:f>
              <c:strCache>
                <c:ptCount val="1"/>
                <c:pt idx="0">
                  <c:v>2019~2020（一）</c:v>
                </c:pt>
              </c:strCache>
            </c:strRef>
          </c:tx>
          <c:invertIfNegative val="0"/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Sheet1!$G$1:$I$1</c:f>
              <c:strCache>
                <c:ptCount val="3"/>
                <c:pt idx="0">
                  <c:v>院平均分</c:v>
                </c:pt>
                <c:pt idx="1">
                  <c:v>院最高分</c:v>
                </c:pt>
                <c:pt idx="2">
                  <c:v>院最低分</c:v>
                </c:pt>
              </c:strCache>
            </c:strRef>
          </c:cat>
          <c:val>
            <c:numRef>
              <c:f>Sheet1!$G$3:$I$3</c:f>
              <c:numCache>
                <c:formatCode>General</c:formatCode>
                <c:ptCount val="3"/>
                <c:pt idx="0">
                  <c:v>90.58</c:v>
                </c:pt>
                <c:pt idx="1">
                  <c:v>96.64</c:v>
                </c:pt>
                <c:pt idx="2">
                  <c:v>79.79</c:v>
                </c:pt>
              </c:numCache>
            </c:numRef>
          </c:val>
        </c:ser>
        <c:ser>
          <c:idx val="2"/>
          <c:order val="2"/>
          <c:tx>
            <c:strRef>
              <c:f>Sheet1!$B$4</c:f>
              <c:strCache>
                <c:ptCount val="1"/>
                <c:pt idx="0">
                  <c:v>2019年度</c:v>
                </c:pt>
              </c:strCache>
            </c:strRef>
          </c:tx>
          <c:invertIfNegative val="0"/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Sheet1!$G$1:$I$1</c:f>
              <c:strCache>
                <c:ptCount val="3"/>
                <c:pt idx="0">
                  <c:v>院平均分</c:v>
                </c:pt>
                <c:pt idx="1">
                  <c:v>院最高分</c:v>
                </c:pt>
                <c:pt idx="2">
                  <c:v>院最低分</c:v>
                </c:pt>
              </c:strCache>
            </c:strRef>
          </c:cat>
          <c:val>
            <c:numRef>
              <c:f>Sheet1!$G$4:$I$4</c:f>
              <c:numCache>
                <c:formatCode>General</c:formatCode>
                <c:ptCount val="3"/>
                <c:pt idx="0">
                  <c:v>90.67</c:v>
                </c:pt>
                <c:pt idx="1">
                  <c:v>96.24</c:v>
                </c:pt>
                <c:pt idx="2">
                  <c:v>81.46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98976128"/>
        <c:axId val="98977664"/>
      </c:barChart>
      <c:catAx>
        <c:axId val="98976128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8977664"/>
        <c:crosses val="autoZero"/>
        <c:auto val="1"/>
        <c:lblAlgn val="ctr"/>
        <c:lblOffset val="100"/>
        <c:noMultiLvlLbl val="0"/>
      </c:catAx>
      <c:valAx>
        <c:axId val="98977664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9525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8976128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view3D>
      <c:rotX val="30"/>
      <c:rotY val="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Sheet1!$B$2</c:f>
              <c:strCache>
                <c:ptCount val="1"/>
                <c:pt idx="0">
                  <c:v>2018~2019（二）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1"/>
              <c:layout>
                <c:manualLayout>
                  <c:x val="0.148905468783615"/>
                  <c:y val="-0.0640202911562596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494557032829913"/>
                  <c:y val="0.0982900222895277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Sheet1!$C$1:$E$1</c:f>
              <c:strCache>
                <c:ptCount val="3"/>
                <c:pt idx="0">
                  <c:v>教师总数</c:v>
                </c:pt>
                <c:pt idx="1">
                  <c:v>专任教师</c:v>
                </c:pt>
                <c:pt idx="2">
                  <c:v>校内兼课</c:v>
                </c:pt>
              </c:strCache>
            </c:strRef>
          </c:cat>
          <c:val>
            <c:numRef>
              <c:f>Sheet1!$C$2:$E$2</c:f>
              <c:numCache>
                <c:formatCode>General</c:formatCode>
                <c:ptCount val="3"/>
                <c:pt idx="0">
                  <c:v>369</c:v>
                </c:pt>
                <c:pt idx="1">
                  <c:v>236</c:v>
                </c:pt>
                <c:pt idx="2">
                  <c:v>52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</c:pie3DChart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view3D>
      <c:rotX val="30"/>
      <c:rotY val="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Sheet1!$B$3</c:f>
              <c:strCache>
                <c:ptCount val="1"/>
                <c:pt idx="0">
                  <c:v>2019~2020（一）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Sheet1!$C$1:$E$1</c:f>
              <c:strCache>
                <c:ptCount val="3"/>
                <c:pt idx="0">
                  <c:v>教师总数</c:v>
                </c:pt>
                <c:pt idx="1">
                  <c:v>专任教师</c:v>
                </c:pt>
                <c:pt idx="2">
                  <c:v>校内兼课</c:v>
                </c:pt>
              </c:strCache>
            </c:strRef>
          </c:cat>
          <c:val>
            <c:numRef>
              <c:f>Sheet1!$C$3:$E$3</c:f>
              <c:numCache>
                <c:formatCode>General</c:formatCode>
                <c:ptCount val="3"/>
                <c:pt idx="0">
                  <c:v>389</c:v>
                </c:pt>
                <c:pt idx="1">
                  <c:v>252</c:v>
                </c:pt>
                <c:pt idx="2">
                  <c:v>51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</c:pie3DChart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206</Words>
  <Characters>1179</Characters>
  <Lines>9</Lines>
  <Paragraphs>2</Paragraphs>
  <TotalTime>354</TotalTime>
  <ScaleCrop>false</ScaleCrop>
  <LinksUpToDate>false</LinksUpToDate>
  <CharactersWithSpaces>1383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2017-12-28T01:20:00Z</dcterms:created>
  <dc:creator>USER</dc:creator>
  <cp:lastModifiedBy>Administrator</cp:lastModifiedBy>
  <dcterms:modified xsi:type="dcterms:W3CDTF">2021-09-28T06:31:16Z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37BB50E09B734EB2998C49752E847F89</vt:lpwstr>
  </property>
</Properties>
</file>