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Ansi="黑体" w:eastAsia="黑体"/>
          <w:b/>
          <w:sz w:val="32"/>
          <w:szCs w:val="32"/>
        </w:rPr>
      </w:pPr>
      <w:bookmarkStart w:id="0" w:name="_Toc11055852"/>
      <w:bookmarkStart w:id="1" w:name="_Toc12630178"/>
      <w:bookmarkStart w:id="2" w:name="_Toc11055297"/>
      <w:bookmarkStart w:id="3" w:name="_Toc11061836"/>
      <w:r>
        <w:rPr>
          <w:rFonts w:hint="eastAsia" w:hAnsi="黑体" w:eastAsia="黑体"/>
          <w:b/>
          <w:sz w:val="32"/>
          <w:szCs w:val="32"/>
        </w:rPr>
        <w:t>计算机网络技术专业（云计算方向）中高职贯通人才培养方案</w:t>
      </w:r>
      <w:bookmarkEnd w:id="0"/>
      <w:bookmarkEnd w:id="1"/>
      <w:bookmarkEnd w:id="2"/>
      <w:bookmarkEnd w:id="3"/>
    </w:p>
    <w:p>
      <w:pPr>
        <w:snapToGrid w:val="0"/>
        <w:spacing w:line="300" w:lineRule="auto"/>
        <w:ind w:firstLine="420"/>
        <w:jc w:val="center"/>
        <w:rPr>
          <w:rFonts w:ascii="Calibri" w:hAnsi="Calibri"/>
          <w:sz w:val="28"/>
          <w:szCs w:val="28"/>
        </w:rPr>
      </w:pPr>
      <w:bookmarkStart w:id="4" w:name="_Toc11055298"/>
      <w:r>
        <w:rPr>
          <w:rFonts w:hint="eastAsia" w:ascii="Calibri" w:hAnsi="Calibri"/>
          <w:sz w:val="28"/>
          <w:szCs w:val="28"/>
        </w:rPr>
        <w:t>上海电子信息职业技术学院   上海市浦东外事服务学校</w:t>
      </w:r>
      <w:bookmarkEnd w:id="4"/>
    </w:p>
    <w:p>
      <w:pPr>
        <w:overflowPunct w:val="0"/>
        <w:ind w:firstLine="420" w:firstLineChars="200"/>
        <w:rPr>
          <w:szCs w:val="32"/>
        </w:rPr>
      </w:pPr>
    </w:p>
    <w:p>
      <w:pPr>
        <w:overflowPunct w:val="0"/>
        <w:adjustRightInd w:val="0"/>
        <w:spacing w:line="360" w:lineRule="auto"/>
        <w:ind w:firstLine="480" w:firstLineChars="200"/>
        <w:outlineLvl w:val="0"/>
        <w:rPr>
          <w:rFonts w:eastAsia="黑体"/>
          <w:sz w:val="24"/>
          <w:szCs w:val="24"/>
        </w:rPr>
      </w:pPr>
      <w:r>
        <w:rPr>
          <w:rFonts w:eastAsia="黑体"/>
          <w:sz w:val="24"/>
          <w:szCs w:val="24"/>
        </w:rPr>
        <w:t>一、专业名称及代码</w:t>
      </w:r>
    </w:p>
    <w:p>
      <w:pPr>
        <w:spacing w:line="360" w:lineRule="auto"/>
        <w:ind w:firstLine="420" w:firstLineChars="200"/>
        <w:rPr>
          <w:rFonts w:ascii="宋体" w:hAnsi="宋体"/>
          <w:szCs w:val="21"/>
        </w:rPr>
      </w:pPr>
      <w:r>
        <w:rPr>
          <w:rFonts w:hint="eastAsia" w:ascii="宋体" w:hAnsi="宋体"/>
          <w:szCs w:val="21"/>
        </w:rPr>
        <w:t>计算机网络技术（510202）</w:t>
      </w:r>
    </w:p>
    <w:p>
      <w:pPr>
        <w:overflowPunct w:val="0"/>
        <w:adjustRightInd w:val="0"/>
        <w:spacing w:line="360" w:lineRule="auto"/>
        <w:ind w:firstLine="480" w:firstLineChars="200"/>
        <w:outlineLvl w:val="0"/>
        <w:rPr>
          <w:rFonts w:eastAsia="黑体"/>
          <w:sz w:val="24"/>
          <w:szCs w:val="24"/>
        </w:rPr>
      </w:pPr>
      <w:r>
        <w:rPr>
          <w:rFonts w:eastAsia="黑体"/>
          <w:sz w:val="24"/>
          <w:szCs w:val="24"/>
        </w:rPr>
        <w:t>二、入学要求</w:t>
      </w:r>
    </w:p>
    <w:p>
      <w:pPr>
        <w:overflowPunct w:val="0"/>
        <w:adjustRightInd w:val="0"/>
        <w:spacing w:line="360" w:lineRule="auto"/>
        <w:ind w:firstLine="420" w:firstLineChars="200"/>
        <w:rPr>
          <w:rFonts w:ascii="宋体" w:hAnsi="宋体" w:cs="宋体"/>
          <w:szCs w:val="21"/>
        </w:rPr>
      </w:pPr>
      <w:r>
        <w:rPr>
          <w:rFonts w:hint="eastAsia" w:ascii="宋体" w:hAnsi="宋体" w:cs="宋体"/>
          <w:szCs w:val="21"/>
        </w:rPr>
        <w:t>初中毕业生</w:t>
      </w:r>
    </w:p>
    <w:p>
      <w:pPr>
        <w:overflowPunct w:val="0"/>
        <w:adjustRightInd w:val="0"/>
        <w:spacing w:line="360" w:lineRule="auto"/>
        <w:ind w:firstLine="480" w:firstLineChars="200"/>
        <w:outlineLvl w:val="0"/>
        <w:rPr>
          <w:rFonts w:eastAsia="黑体"/>
          <w:sz w:val="24"/>
          <w:szCs w:val="24"/>
        </w:rPr>
      </w:pPr>
      <w:r>
        <w:rPr>
          <w:rFonts w:eastAsia="黑体"/>
          <w:sz w:val="24"/>
          <w:szCs w:val="24"/>
        </w:rPr>
        <w:t>三、修业年限</w:t>
      </w:r>
    </w:p>
    <w:p>
      <w:pPr>
        <w:pStyle w:val="8"/>
        <w:ind w:firstLine="442"/>
        <w:jc w:val="left"/>
        <w:rPr>
          <w:rFonts w:cs="Times New Roman"/>
          <w:sz w:val="21"/>
          <w:szCs w:val="20"/>
          <w:lang w:val="en-US" w:eastAsia="zh-CN" w:bidi="ar-SA"/>
        </w:rPr>
      </w:pPr>
      <w:r>
        <w:rPr>
          <w:rFonts w:cs="Times New Roman"/>
          <w:sz w:val="21"/>
          <w:szCs w:val="20"/>
          <w:lang w:val="en-US" w:eastAsia="zh-CN" w:bidi="ar-SA"/>
        </w:rPr>
        <w:t>五年</w:t>
      </w:r>
    </w:p>
    <w:p>
      <w:pPr>
        <w:overflowPunct w:val="0"/>
        <w:adjustRightInd w:val="0"/>
        <w:spacing w:line="360" w:lineRule="auto"/>
        <w:ind w:firstLine="480" w:firstLineChars="200"/>
        <w:outlineLvl w:val="0"/>
        <w:rPr>
          <w:rFonts w:eastAsia="黑体"/>
          <w:sz w:val="24"/>
          <w:szCs w:val="24"/>
        </w:rPr>
      </w:pPr>
      <w:r>
        <w:rPr>
          <w:rFonts w:eastAsia="黑体"/>
          <w:sz w:val="24"/>
          <w:szCs w:val="24"/>
        </w:rPr>
        <w:t>四、职业面向</w:t>
      </w:r>
    </w:p>
    <w:p>
      <w:pPr>
        <w:overflowPunct w:val="0"/>
        <w:adjustRightInd w:val="0"/>
        <w:ind w:firstLine="480" w:firstLineChars="200"/>
        <w:jc w:val="center"/>
        <w:rPr>
          <w:rFonts w:eastAsia="方正仿宋简体"/>
          <w:sz w:val="24"/>
          <w:szCs w:val="24"/>
        </w:rPr>
      </w:pPr>
      <w:r>
        <w:rPr>
          <w:rFonts w:hint="eastAsia" w:eastAsia="方正仿宋简体"/>
          <w:sz w:val="24"/>
          <w:szCs w:val="24"/>
        </w:rPr>
        <w:t>表</w:t>
      </w:r>
      <w:r>
        <w:rPr>
          <w:rFonts w:eastAsia="方正仿宋简体"/>
          <w:sz w:val="24"/>
          <w:szCs w:val="24"/>
        </w:rPr>
        <w:t>1</w:t>
      </w:r>
      <w:r>
        <w:rPr>
          <w:rFonts w:hint="eastAsia" w:eastAsia="方正仿宋简体"/>
          <w:sz w:val="24"/>
          <w:szCs w:val="24"/>
        </w:rPr>
        <w:t xml:space="preserve">  职业面向表</w:t>
      </w:r>
    </w:p>
    <w:tbl>
      <w:tblPr>
        <w:tblStyle w:val="5"/>
        <w:tblpPr w:leftFromText="180" w:rightFromText="180" w:vertAnchor="text" w:horzAnchor="margin" w:tblpXSpec="center" w:tblpY="67"/>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16"/>
        <w:gridCol w:w="1072"/>
        <w:gridCol w:w="1338"/>
        <w:gridCol w:w="1708"/>
        <w:gridCol w:w="2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exact"/>
        </w:trPr>
        <w:tc>
          <w:tcPr>
            <w:tcW w:w="1344" w:type="dxa"/>
            <w:vAlign w:val="center"/>
          </w:tcPr>
          <w:p>
            <w:pPr>
              <w:jc w:val="center"/>
              <w:rPr>
                <w:b/>
                <w:sz w:val="18"/>
                <w:szCs w:val="18"/>
              </w:rPr>
            </w:pPr>
            <w:r>
              <w:rPr>
                <w:rFonts w:hint="eastAsia"/>
                <w:b/>
                <w:sz w:val="18"/>
                <w:szCs w:val="18"/>
              </w:rPr>
              <w:t>所属专业大类</w:t>
            </w:r>
          </w:p>
        </w:tc>
        <w:tc>
          <w:tcPr>
            <w:tcW w:w="1316" w:type="dxa"/>
            <w:vAlign w:val="center"/>
          </w:tcPr>
          <w:p>
            <w:pPr>
              <w:jc w:val="center"/>
              <w:rPr>
                <w:b/>
                <w:sz w:val="18"/>
                <w:szCs w:val="18"/>
              </w:rPr>
            </w:pPr>
            <w:r>
              <w:rPr>
                <w:rFonts w:hint="eastAsia"/>
                <w:b/>
                <w:sz w:val="18"/>
                <w:szCs w:val="18"/>
              </w:rPr>
              <w:t>所属专业类</w:t>
            </w:r>
          </w:p>
        </w:tc>
        <w:tc>
          <w:tcPr>
            <w:tcW w:w="1072" w:type="dxa"/>
            <w:vAlign w:val="center"/>
          </w:tcPr>
          <w:p>
            <w:pPr>
              <w:jc w:val="center"/>
              <w:rPr>
                <w:b/>
                <w:sz w:val="18"/>
                <w:szCs w:val="18"/>
              </w:rPr>
            </w:pPr>
            <w:r>
              <w:rPr>
                <w:rFonts w:hint="eastAsia"/>
                <w:b/>
                <w:sz w:val="18"/>
                <w:szCs w:val="18"/>
              </w:rPr>
              <w:t>对应行业</w:t>
            </w:r>
          </w:p>
        </w:tc>
        <w:tc>
          <w:tcPr>
            <w:tcW w:w="1338" w:type="dxa"/>
            <w:vAlign w:val="center"/>
          </w:tcPr>
          <w:p>
            <w:pPr>
              <w:jc w:val="center"/>
              <w:rPr>
                <w:b/>
                <w:sz w:val="18"/>
                <w:szCs w:val="18"/>
              </w:rPr>
            </w:pPr>
            <w:r>
              <w:rPr>
                <w:rFonts w:hint="eastAsia"/>
                <w:b/>
                <w:sz w:val="18"/>
                <w:szCs w:val="18"/>
              </w:rPr>
              <w:t>主要职业类别</w:t>
            </w:r>
          </w:p>
        </w:tc>
        <w:tc>
          <w:tcPr>
            <w:tcW w:w="1708" w:type="dxa"/>
            <w:vAlign w:val="center"/>
          </w:tcPr>
          <w:p>
            <w:pPr>
              <w:jc w:val="center"/>
              <w:rPr>
                <w:b/>
                <w:sz w:val="18"/>
                <w:szCs w:val="18"/>
              </w:rPr>
            </w:pPr>
            <w:r>
              <w:rPr>
                <w:rFonts w:hint="eastAsia"/>
                <w:b/>
                <w:sz w:val="18"/>
                <w:szCs w:val="18"/>
              </w:rPr>
              <w:t>主要岗位类别（或技术领域）</w:t>
            </w:r>
          </w:p>
        </w:tc>
        <w:tc>
          <w:tcPr>
            <w:tcW w:w="2280" w:type="dxa"/>
            <w:vAlign w:val="center"/>
          </w:tcPr>
          <w:p>
            <w:pPr>
              <w:jc w:val="center"/>
              <w:rPr>
                <w:b/>
                <w:sz w:val="18"/>
                <w:szCs w:val="18"/>
              </w:rPr>
            </w:pPr>
            <w:r>
              <w:rPr>
                <w:rFonts w:hint="eastAsia"/>
                <w:b/>
                <w:sz w:val="18"/>
                <w:szCs w:val="18"/>
              </w:rPr>
              <w:t>职业资格证书或技能等级证书举例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2" w:hRule="exact"/>
        </w:trPr>
        <w:tc>
          <w:tcPr>
            <w:tcW w:w="1344" w:type="dxa"/>
            <w:vAlign w:val="center"/>
          </w:tcPr>
          <w:p>
            <w:pPr>
              <w:jc w:val="left"/>
              <w:rPr>
                <w:sz w:val="18"/>
                <w:szCs w:val="18"/>
              </w:rPr>
            </w:pPr>
            <w:r>
              <w:rPr>
                <w:rFonts w:hint="eastAsia"/>
                <w:sz w:val="18"/>
                <w:szCs w:val="18"/>
              </w:rPr>
              <w:t>电子与信息（51）</w:t>
            </w:r>
          </w:p>
        </w:tc>
        <w:tc>
          <w:tcPr>
            <w:tcW w:w="1316" w:type="dxa"/>
            <w:vAlign w:val="center"/>
          </w:tcPr>
          <w:p>
            <w:pPr>
              <w:jc w:val="left"/>
              <w:rPr>
                <w:sz w:val="18"/>
                <w:szCs w:val="18"/>
              </w:rPr>
            </w:pPr>
            <w:r>
              <w:rPr>
                <w:rFonts w:hint="eastAsia"/>
                <w:sz w:val="18"/>
                <w:szCs w:val="18"/>
              </w:rPr>
              <w:t>计算机（5102）</w:t>
            </w:r>
          </w:p>
        </w:tc>
        <w:tc>
          <w:tcPr>
            <w:tcW w:w="1072" w:type="dxa"/>
            <w:vAlign w:val="center"/>
          </w:tcPr>
          <w:p>
            <w:pPr>
              <w:jc w:val="left"/>
              <w:rPr>
                <w:sz w:val="18"/>
                <w:szCs w:val="18"/>
              </w:rPr>
            </w:pPr>
            <w:r>
              <w:rPr>
                <w:rFonts w:hint="eastAsia"/>
                <w:sz w:val="18"/>
                <w:szCs w:val="18"/>
              </w:rPr>
              <w:t>软件与信息技术服务业</w:t>
            </w:r>
          </w:p>
        </w:tc>
        <w:tc>
          <w:tcPr>
            <w:tcW w:w="1338" w:type="dxa"/>
            <w:vAlign w:val="center"/>
          </w:tcPr>
          <w:p>
            <w:pPr>
              <w:jc w:val="left"/>
              <w:rPr>
                <w:sz w:val="18"/>
                <w:szCs w:val="18"/>
              </w:rPr>
            </w:pPr>
            <w:r>
              <w:rPr>
                <w:rFonts w:hint="eastAsia"/>
                <w:sz w:val="18"/>
                <w:szCs w:val="18"/>
              </w:rPr>
              <w:t>信息系统集成服务</w:t>
            </w:r>
          </w:p>
        </w:tc>
        <w:tc>
          <w:tcPr>
            <w:tcW w:w="1708" w:type="dxa"/>
            <w:vAlign w:val="center"/>
          </w:tcPr>
          <w:p>
            <w:pPr>
              <w:jc w:val="left"/>
              <w:rPr>
                <w:sz w:val="18"/>
                <w:szCs w:val="18"/>
              </w:rPr>
            </w:pPr>
            <w:r>
              <w:rPr>
                <w:rFonts w:hint="eastAsia"/>
                <w:sz w:val="18"/>
                <w:szCs w:val="18"/>
              </w:rPr>
              <w:t>计算机网络技术人员（2-02-13-03）</w:t>
            </w:r>
          </w:p>
          <w:p>
            <w:pPr>
              <w:jc w:val="left"/>
              <w:rPr>
                <w:sz w:val="18"/>
                <w:szCs w:val="18"/>
              </w:rPr>
            </w:pPr>
            <w:r>
              <w:rPr>
                <w:bCs/>
                <w:sz w:val="18"/>
                <w:szCs w:val="18"/>
              </w:rPr>
              <w:t>云计算工程技术人员（2-02-10-12）</w:t>
            </w:r>
          </w:p>
        </w:tc>
        <w:tc>
          <w:tcPr>
            <w:tcW w:w="2280" w:type="dxa"/>
            <w:vAlign w:val="center"/>
          </w:tcPr>
          <w:p>
            <w:pPr>
              <w:numPr>
                <w:ilvl w:val="0"/>
                <w:numId w:val="1"/>
              </w:numPr>
              <w:jc w:val="left"/>
              <w:rPr>
                <w:sz w:val="18"/>
                <w:szCs w:val="18"/>
              </w:rPr>
            </w:pPr>
            <w:r>
              <w:rPr>
                <w:rFonts w:hint="eastAsia"/>
                <w:sz w:val="18"/>
                <w:szCs w:val="18"/>
              </w:rPr>
              <w:t>1+X证书-网络系统建设与运维职业技能等级证书(中级)</w:t>
            </w:r>
          </w:p>
          <w:p>
            <w:pPr>
              <w:numPr>
                <w:ilvl w:val="0"/>
                <w:numId w:val="1"/>
              </w:numPr>
              <w:jc w:val="left"/>
              <w:rPr>
                <w:sz w:val="18"/>
                <w:szCs w:val="18"/>
              </w:rPr>
            </w:pPr>
            <w:r>
              <w:rPr>
                <w:rFonts w:hint="eastAsia"/>
                <w:sz w:val="18"/>
                <w:szCs w:val="18"/>
              </w:rPr>
              <w:t>1+X证书-云计算平台运维与开发职业技能等级证书(中级)</w:t>
            </w:r>
          </w:p>
          <w:p>
            <w:pPr>
              <w:numPr>
                <w:ilvl w:val="0"/>
                <w:numId w:val="1"/>
              </w:numPr>
              <w:jc w:val="left"/>
              <w:rPr>
                <w:sz w:val="18"/>
                <w:szCs w:val="18"/>
              </w:rPr>
            </w:pPr>
            <w:r>
              <w:rPr>
                <w:rFonts w:hint="eastAsia"/>
                <w:sz w:val="18"/>
                <w:szCs w:val="18"/>
              </w:rPr>
              <w:t>华为认证网络工程师</w:t>
            </w:r>
          </w:p>
          <w:p>
            <w:pPr>
              <w:numPr>
                <w:ilvl w:val="0"/>
                <w:numId w:val="1"/>
              </w:numPr>
              <w:jc w:val="left"/>
              <w:rPr>
                <w:sz w:val="18"/>
                <w:szCs w:val="18"/>
              </w:rPr>
            </w:pPr>
            <w:r>
              <w:rPr>
                <w:rFonts w:hint="eastAsia"/>
                <w:sz w:val="18"/>
                <w:szCs w:val="18"/>
              </w:rPr>
              <w:t>华为认证云计算工程师</w:t>
            </w:r>
          </w:p>
          <w:p>
            <w:pPr>
              <w:numPr>
                <w:ilvl w:val="0"/>
                <w:numId w:val="1"/>
              </w:numPr>
              <w:jc w:val="left"/>
              <w:rPr>
                <w:sz w:val="18"/>
                <w:szCs w:val="18"/>
              </w:rPr>
            </w:pPr>
            <w:r>
              <w:rPr>
                <w:rFonts w:hint="eastAsia"/>
                <w:sz w:val="18"/>
                <w:szCs w:val="18"/>
              </w:rPr>
              <w:t>红帽认证工程师</w:t>
            </w:r>
          </w:p>
          <w:p>
            <w:pPr>
              <w:numPr>
                <w:ilvl w:val="0"/>
                <w:numId w:val="1"/>
              </w:numPr>
              <w:jc w:val="left"/>
              <w:rPr>
                <w:sz w:val="18"/>
                <w:szCs w:val="18"/>
              </w:rPr>
            </w:pPr>
            <w:r>
              <w:rPr>
                <w:rFonts w:hint="eastAsia"/>
                <w:sz w:val="18"/>
                <w:szCs w:val="18"/>
              </w:rPr>
              <w:t>网络系统组建与维护</w:t>
            </w:r>
          </w:p>
          <w:p>
            <w:pPr>
              <w:jc w:val="left"/>
              <w:rPr>
                <w:sz w:val="18"/>
                <w:szCs w:val="18"/>
              </w:rPr>
            </w:pPr>
          </w:p>
        </w:tc>
      </w:tr>
    </w:tbl>
    <w:p>
      <w:pPr>
        <w:overflowPunct w:val="0"/>
        <w:adjustRightInd w:val="0"/>
        <w:rPr>
          <w:rFonts w:eastAsia="方正仿宋简体"/>
          <w:sz w:val="24"/>
          <w:szCs w:val="24"/>
        </w:rPr>
      </w:pPr>
    </w:p>
    <w:p>
      <w:pPr>
        <w:overflowPunct w:val="0"/>
        <w:adjustRightInd w:val="0"/>
        <w:spacing w:line="360" w:lineRule="auto"/>
        <w:ind w:firstLine="480" w:firstLineChars="200"/>
        <w:outlineLvl w:val="0"/>
        <w:rPr>
          <w:rFonts w:eastAsia="黑体"/>
          <w:sz w:val="24"/>
          <w:szCs w:val="24"/>
        </w:rPr>
      </w:pPr>
      <w:r>
        <w:rPr>
          <w:rFonts w:eastAsia="黑体"/>
          <w:sz w:val="24"/>
          <w:szCs w:val="24"/>
        </w:rPr>
        <w:t>五、培养目标与培养规格</w:t>
      </w:r>
    </w:p>
    <w:p>
      <w:pPr>
        <w:overflowPunct w:val="0"/>
        <w:adjustRightInd w:val="0"/>
        <w:spacing w:line="360" w:lineRule="auto"/>
        <w:ind w:firstLine="482" w:firstLineChars="200"/>
        <w:outlineLvl w:val="0"/>
        <w:rPr>
          <w:rFonts w:eastAsia="楷体_GB2312"/>
          <w:b/>
          <w:sz w:val="24"/>
          <w:szCs w:val="24"/>
        </w:rPr>
      </w:pPr>
      <w:r>
        <w:rPr>
          <w:rFonts w:eastAsia="楷体_GB2312"/>
          <w:b/>
          <w:sz w:val="24"/>
          <w:szCs w:val="24"/>
        </w:rPr>
        <w:t>（一）培养目标</w:t>
      </w:r>
    </w:p>
    <w:p>
      <w:pPr>
        <w:overflowPunct w:val="0"/>
        <w:adjustRightInd w:val="0"/>
        <w:spacing w:line="360" w:lineRule="auto"/>
        <w:ind w:firstLine="420" w:firstLineChars="200"/>
        <w:outlineLvl w:val="0"/>
        <w:rPr>
          <w:rFonts w:eastAsia="方正仿宋简体"/>
          <w:sz w:val="24"/>
          <w:szCs w:val="24"/>
        </w:rPr>
      </w:pPr>
      <w:r>
        <w:rPr>
          <w:rFonts w:hint="eastAsia" w:ascii="宋体" w:hAnsi="宋体" w:cs="宋体"/>
          <w:szCs w:val="21"/>
        </w:rPr>
        <w:t>培养思想政治坚定、德技并修、全面发展，具有一定的科学文化水平、良好的职业道德和工匠精神、掌握计算机网络、云计算运维等专业技术技能，具备认知能力、合作能力、创新能力、职业能力等支撑终身发展、适应时代要求的关键能力，具有较强的就业创业能力，面向长三角网络及云计算领域，能够从事网络管理、网络系统集成、服务器运维、云计算平台运维与应用等工作的高素质技术技能人才。</w:t>
      </w:r>
    </w:p>
    <w:p>
      <w:pPr>
        <w:overflowPunct w:val="0"/>
        <w:adjustRightInd w:val="0"/>
        <w:spacing w:line="360" w:lineRule="auto"/>
        <w:ind w:firstLine="482" w:firstLineChars="200"/>
        <w:outlineLvl w:val="0"/>
        <w:rPr>
          <w:rFonts w:eastAsia="楷体_GB2312"/>
          <w:b/>
          <w:sz w:val="24"/>
          <w:szCs w:val="24"/>
        </w:rPr>
      </w:pPr>
      <w:r>
        <w:rPr>
          <w:rFonts w:eastAsia="楷体_GB2312"/>
          <w:b/>
          <w:sz w:val="24"/>
          <w:szCs w:val="24"/>
        </w:rPr>
        <w:t>（二）培养规格</w:t>
      </w:r>
    </w:p>
    <w:p>
      <w:pPr>
        <w:pStyle w:val="8"/>
        <w:tabs>
          <w:tab w:val="left" w:pos="1014"/>
        </w:tabs>
        <w:ind w:left="440" w:firstLine="0"/>
        <w:rPr>
          <w:sz w:val="21"/>
          <w:szCs w:val="21"/>
        </w:rPr>
      </w:pPr>
      <w:r>
        <w:rPr>
          <w:rFonts w:hint="eastAsia"/>
          <w:color w:val="000000"/>
          <w:sz w:val="21"/>
          <w:szCs w:val="21"/>
          <w:lang w:val="en-US" w:eastAsia="zh-CN"/>
        </w:rPr>
        <w:t>1.</w:t>
      </w:r>
      <w:r>
        <w:rPr>
          <w:color w:val="000000"/>
          <w:sz w:val="21"/>
          <w:szCs w:val="21"/>
        </w:rPr>
        <w:t>素质</w:t>
      </w:r>
    </w:p>
    <w:p>
      <w:pPr>
        <w:pStyle w:val="9"/>
        <w:numPr>
          <w:ilvl w:val="0"/>
          <w:numId w:val="2"/>
        </w:numPr>
        <w:spacing w:line="360" w:lineRule="auto"/>
        <w:ind w:firstLineChars="0"/>
        <w:rPr>
          <w:rFonts w:ascii="宋体" w:hAnsi="宋体" w:cs="仿宋"/>
          <w:szCs w:val="21"/>
        </w:rPr>
      </w:pPr>
      <w:r>
        <w:rPr>
          <w:rFonts w:ascii="宋体" w:hAnsi="宋体" w:cs="仿宋"/>
          <w:szCs w:val="21"/>
        </w:rPr>
        <w:t>坚定拥护中国共产党领导和我国社会主义制度，在习近平新时代中国特色社 会主义思想指引下，践行社会主义核心价值观，具有深厚的爱国情感和中华民族自 豪感。</w:t>
      </w:r>
    </w:p>
    <w:p>
      <w:pPr>
        <w:pStyle w:val="9"/>
        <w:numPr>
          <w:ilvl w:val="0"/>
          <w:numId w:val="2"/>
        </w:numPr>
        <w:spacing w:line="360" w:lineRule="auto"/>
        <w:ind w:firstLineChars="0"/>
        <w:rPr>
          <w:rFonts w:ascii="宋体" w:hAnsi="宋体" w:cs="仿宋"/>
          <w:szCs w:val="21"/>
        </w:rPr>
      </w:pPr>
      <w:r>
        <w:rPr>
          <w:rFonts w:ascii="宋体" w:hAnsi="宋体" w:cs="仿宋"/>
          <w:szCs w:val="21"/>
        </w:rPr>
        <w:t>崇尚宪法、遵法守纪、崇德向善、诚实守信、尊重生命、热爱劳动，履行道德准 则和行为规范，具有社会责任感和社会参与意识。</w:t>
      </w:r>
    </w:p>
    <w:p>
      <w:pPr>
        <w:pStyle w:val="9"/>
        <w:numPr>
          <w:ilvl w:val="0"/>
          <w:numId w:val="2"/>
        </w:numPr>
        <w:spacing w:line="360" w:lineRule="auto"/>
        <w:ind w:firstLineChars="0"/>
        <w:rPr>
          <w:rFonts w:ascii="宋体" w:hAnsi="宋体" w:cs="仿宋"/>
          <w:szCs w:val="21"/>
        </w:rPr>
      </w:pPr>
      <w:r>
        <w:rPr>
          <w:rFonts w:ascii="宋体" w:hAnsi="宋体" w:cs="仿宋"/>
          <w:szCs w:val="21"/>
        </w:rPr>
        <w:t>具有质量意识、环保意识、安全意识、信息素养、工匠精神、创新思维。</w:t>
      </w:r>
    </w:p>
    <w:p>
      <w:pPr>
        <w:pStyle w:val="9"/>
        <w:numPr>
          <w:ilvl w:val="0"/>
          <w:numId w:val="2"/>
        </w:numPr>
        <w:spacing w:line="360" w:lineRule="auto"/>
        <w:ind w:firstLineChars="0"/>
        <w:rPr>
          <w:rFonts w:ascii="宋体" w:hAnsi="宋体" w:cs="仿宋"/>
          <w:szCs w:val="21"/>
        </w:rPr>
      </w:pPr>
      <w:r>
        <w:rPr>
          <w:rFonts w:ascii="宋体" w:hAnsi="宋体" w:cs="仿宋"/>
          <w:szCs w:val="21"/>
        </w:rPr>
        <w:t>勇于奋斗、乐观向上，具有自我管理能力、职业生涯规划的意识，有较强的集体 意识和团队合作精神。</w:t>
      </w:r>
    </w:p>
    <w:p>
      <w:pPr>
        <w:pStyle w:val="9"/>
        <w:numPr>
          <w:ilvl w:val="0"/>
          <w:numId w:val="2"/>
        </w:numPr>
        <w:spacing w:line="360" w:lineRule="auto"/>
        <w:ind w:firstLineChars="0"/>
        <w:rPr>
          <w:rFonts w:ascii="宋体" w:hAnsi="宋体" w:cs="仿宋"/>
          <w:szCs w:val="21"/>
        </w:rPr>
      </w:pPr>
      <w:r>
        <w:rPr>
          <w:rFonts w:ascii="宋体" w:hAnsi="宋体" w:cs="仿宋"/>
          <w:szCs w:val="21"/>
        </w:rPr>
        <w:t>具有健康的体魄、心理和健全的人格，掌握基本运动知识和1-2项运动技能，养成良好的健身与卫生习惯，以及良好的行为习惯。</w:t>
      </w:r>
    </w:p>
    <w:p>
      <w:pPr>
        <w:pStyle w:val="9"/>
        <w:numPr>
          <w:ilvl w:val="0"/>
          <w:numId w:val="2"/>
        </w:numPr>
        <w:spacing w:line="360" w:lineRule="auto"/>
        <w:ind w:firstLineChars="0"/>
        <w:rPr>
          <w:rFonts w:ascii="宋体" w:hAnsi="宋体" w:cs="仿宋"/>
          <w:szCs w:val="21"/>
        </w:rPr>
      </w:pPr>
      <w:r>
        <w:rPr>
          <w:rFonts w:ascii="宋体" w:hAnsi="宋体" w:cs="仿宋"/>
          <w:szCs w:val="21"/>
        </w:rPr>
        <w:t>具有一定的审美和人文素养，能够形成1-2项艺术特长或爱好。</w:t>
      </w:r>
    </w:p>
    <w:p>
      <w:pPr>
        <w:spacing w:line="360" w:lineRule="auto"/>
        <w:ind w:firstLine="420" w:firstLineChars="200"/>
        <w:rPr>
          <w:rFonts w:ascii="宋体" w:hAnsi="宋体"/>
        </w:rPr>
      </w:pPr>
      <w:r>
        <w:rPr>
          <w:rFonts w:hint="eastAsia" w:ascii="宋体" w:hAnsi="宋体"/>
        </w:rPr>
        <w:t>2. 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掌握工作中的安全、健康保护及环保知识；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掌握计算机、打印机等常用设备的使用和维护知识；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掌握IP地址应用和网络设备互联知识；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掌握服务器自动化运维的基本知识；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掌握常用网络操作系统的安装、配置和应用知识；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掌握虚拟化技术及云计算基础知识；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掌握云计算平台的基本架构原理；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掌握云计算应用的基本知识；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掌握Python语言基础知识；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掌握信息网络信息网络布线基本术语；</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掌握数据库应用基本知识；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掌握常用的信息安全知识。</w:t>
      </w:r>
    </w:p>
    <w:p>
      <w:pPr>
        <w:spacing w:line="360" w:lineRule="auto"/>
        <w:ind w:firstLine="420" w:firstLineChars="200"/>
        <w:rPr>
          <w:rFonts w:ascii="宋体" w:hAnsi="宋体"/>
        </w:rPr>
      </w:pPr>
      <w:r>
        <w:rPr>
          <w:rFonts w:hint="eastAsia" w:ascii="宋体" w:hAnsi="宋体"/>
        </w:rPr>
        <w:t>3. 能力</w:t>
      </w:r>
    </w:p>
    <w:p>
      <w:pPr>
        <w:spacing w:line="360" w:lineRule="auto"/>
        <w:ind w:firstLine="420" w:firstLineChars="200"/>
        <w:rPr>
          <w:rFonts w:ascii="宋体" w:hAnsi="宋体"/>
        </w:rPr>
      </w:pPr>
      <w:r>
        <w:rPr>
          <w:rFonts w:hint="eastAsia" w:ascii="宋体" w:hAnsi="宋体"/>
        </w:rPr>
        <w:t>（1）综合能力</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具有独立思考、逻辑推理、信息加工能力；</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具有语言表达和文字写作能力；</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具有计算机编程思维；</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具有终身学习的意识和能力、自我管理能力、与他人合作的能力；</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具有创新思维和创新创造能力，动手实践和解决实际问题的能力。</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具有信息检索、甄别、整理、去重、存储能力。</w:t>
      </w:r>
    </w:p>
    <w:p>
      <w:pPr>
        <w:spacing w:line="360" w:lineRule="auto"/>
        <w:ind w:firstLine="420" w:firstLineChars="200"/>
        <w:rPr>
          <w:rFonts w:ascii="宋体" w:hAnsi="宋体"/>
        </w:rPr>
      </w:pPr>
      <w:r>
        <w:rPr>
          <w:rFonts w:hint="eastAsia" w:ascii="宋体" w:hAnsi="宋体"/>
        </w:rPr>
        <w:t>（2）技能能力</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能根据工作环境在工作中实施有效的安全健康防护并减小对环境的影响；</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能够对常用终端系统的维护和管理；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能够实现网络设备系统集成；</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能够根据需求实现服务器系统安装和配置，并实现服务器系统运维和管理；</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能够使用虚拟化技术实现不同云计算平台的应用；</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能够实施云计算平台的组建、管理、运维和应用；</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能够根据需求实施IP地址分配和网络互连设备的安装、配置、检测和日常维护；</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能够根据需求实施网络工程布线和工程项目监督；</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能够利用Python语言编制简单的自动化运维程序；</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能够根据需求对数据库进行日常应用；</w:t>
      </w:r>
    </w:p>
    <w:p>
      <w:pPr>
        <w:pStyle w:val="9"/>
        <w:numPr>
          <w:ilvl w:val="0"/>
          <w:numId w:val="2"/>
        </w:numPr>
        <w:spacing w:line="360" w:lineRule="auto"/>
        <w:ind w:firstLineChars="0"/>
        <w:rPr>
          <w:rFonts w:ascii="宋体" w:hAnsi="宋体" w:cs="仿宋"/>
          <w:szCs w:val="21"/>
        </w:rPr>
      </w:pPr>
      <w:r>
        <w:rPr>
          <w:rFonts w:hint="eastAsia" w:ascii="宋体" w:hAnsi="宋体" w:cs="仿宋"/>
          <w:szCs w:val="21"/>
        </w:rPr>
        <w:t>能够使用信息安全基础知识进行网络设备和网络系统的安全维护。</w:t>
      </w:r>
    </w:p>
    <w:p>
      <w:pPr>
        <w:overflowPunct w:val="0"/>
        <w:adjustRightInd w:val="0"/>
        <w:ind w:firstLine="480" w:firstLineChars="200"/>
        <w:rPr>
          <w:rFonts w:eastAsia="方正仿宋简体"/>
          <w:sz w:val="24"/>
          <w:szCs w:val="24"/>
        </w:rPr>
      </w:pPr>
    </w:p>
    <w:p>
      <w:pPr>
        <w:overflowPunct w:val="0"/>
        <w:adjustRightInd w:val="0"/>
        <w:ind w:firstLine="480" w:firstLineChars="200"/>
        <w:outlineLvl w:val="0"/>
        <w:rPr>
          <w:rFonts w:eastAsia="黑体"/>
          <w:sz w:val="24"/>
          <w:szCs w:val="24"/>
        </w:rPr>
      </w:pPr>
      <w:r>
        <w:rPr>
          <w:rFonts w:eastAsia="黑体"/>
          <w:sz w:val="24"/>
          <w:szCs w:val="24"/>
        </w:rPr>
        <w:t>六、课程设置及要求</w:t>
      </w:r>
    </w:p>
    <w:p>
      <w:pPr>
        <w:overflowPunct w:val="0"/>
        <w:adjustRightInd w:val="0"/>
        <w:ind w:firstLine="482" w:firstLineChars="200"/>
        <w:outlineLvl w:val="0"/>
        <w:rPr>
          <w:rFonts w:eastAsia="楷体_GB2312"/>
          <w:b/>
          <w:sz w:val="24"/>
          <w:szCs w:val="24"/>
        </w:rPr>
      </w:pPr>
      <w:r>
        <w:rPr>
          <w:rFonts w:eastAsia="楷体_GB2312"/>
          <w:b/>
          <w:sz w:val="24"/>
          <w:szCs w:val="24"/>
        </w:rPr>
        <w:t>（一）公共基础课程</w:t>
      </w:r>
    </w:p>
    <w:p>
      <w:pPr>
        <w:spacing w:line="360" w:lineRule="auto"/>
        <w:ind w:firstLine="420" w:firstLineChars="200"/>
        <w:rPr>
          <w:rFonts w:ascii="宋体" w:hAnsi="宋体"/>
          <w:snapToGrid w:val="0"/>
          <w:szCs w:val="21"/>
        </w:rPr>
      </w:pPr>
      <w:r>
        <w:rPr>
          <w:rFonts w:hint="eastAsia" w:ascii="宋体" w:hAnsi="宋体"/>
          <w:snapToGrid w:val="0"/>
          <w:szCs w:val="21"/>
        </w:rPr>
        <w:t>公共基础课程有职业生涯规划、职业道德与法律、经济政治与社会、哲学与人生、形势与政策、思想道德修养与法律基础、毛泽东思想和中国特色社会主义理论体系概论、语文、数学、英语、物理、体育、信息技术基础、军事理论与训练、心理健康教育、创业意识与创业技巧、大学生安全教育、劳动教育以及公共选修课等。</w:t>
      </w:r>
    </w:p>
    <w:p>
      <w:pPr>
        <w:overflowPunct w:val="0"/>
        <w:adjustRightInd w:val="0"/>
        <w:ind w:firstLine="482" w:firstLineChars="200"/>
        <w:outlineLvl w:val="0"/>
        <w:rPr>
          <w:rFonts w:eastAsia="楷体_GB2312"/>
          <w:b/>
          <w:sz w:val="24"/>
          <w:szCs w:val="24"/>
        </w:rPr>
      </w:pPr>
      <w:r>
        <w:rPr>
          <w:rFonts w:eastAsia="楷体_GB2312"/>
          <w:b/>
          <w:sz w:val="24"/>
          <w:szCs w:val="24"/>
        </w:rPr>
        <w:t>（二）专业课程</w:t>
      </w:r>
    </w:p>
    <w:p>
      <w:pPr>
        <w:spacing w:line="360" w:lineRule="auto"/>
        <w:ind w:firstLine="420" w:firstLineChars="200"/>
        <w:rPr>
          <w:rFonts w:ascii="宋体" w:hAnsi="宋体"/>
          <w:snapToGrid w:val="0"/>
          <w:szCs w:val="21"/>
        </w:rPr>
      </w:pPr>
      <w:r>
        <w:rPr>
          <w:rFonts w:ascii="宋体" w:hAnsi="宋体"/>
          <w:snapToGrid w:val="0"/>
          <w:szCs w:val="21"/>
        </w:rPr>
        <w:t>专业课包括专业必修课程、专业选修课程，并涵盖</w:t>
      </w:r>
      <w:r>
        <w:rPr>
          <w:rFonts w:hint="eastAsia" w:ascii="宋体" w:hAnsi="宋体"/>
          <w:snapToGrid w:val="0"/>
          <w:szCs w:val="21"/>
        </w:rPr>
        <w:t>了</w:t>
      </w:r>
      <w:r>
        <w:rPr>
          <w:rFonts w:ascii="宋体" w:hAnsi="宋体"/>
          <w:snapToGrid w:val="0"/>
          <w:szCs w:val="21"/>
        </w:rPr>
        <w:t>相关实践性教学环节</w:t>
      </w:r>
      <w:r>
        <w:rPr>
          <w:rFonts w:hint="eastAsia" w:ascii="宋体" w:hAnsi="宋体"/>
          <w:snapToGrid w:val="0"/>
          <w:szCs w:val="21"/>
        </w:rPr>
        <w:t>，具体</w:t>
      </w:r>
      <w:r>
        <w:rPr>
          <w:rFonts w:ascii="宋体" w:hAnsi="宋体"/>
          <w:snapToGrid w:val="0"/>
          <w:szCs w:val="21"/>
        </w:rPr>
        <w:t>包括以下主要教学内容：</w:t>
      </w:r>
    </w:p>
    <w:p>
      <w:pPr>
        <w:spacing w:line="360" w:lineRule="auto"/>
        <w:ind w:firstLine="420" w:firstLineChars="200"/>
        <w:rPr>
          <w:rFonts w:ascii="宋体" w:hAnsi="宋体"/>
          <w:snapToGrid w:val="0"/>
          <w:szCs w:val="21"/>
        </w:rPr>
      </w:pPr>
      <w:bookmarkStart w:id="5" w:name="bookmark63"/>
      <w:bookmarkEnd w:id="5"/>
      <w:r>
        <w:rPr>
          <w:rFonts w:hint="eastAsia" w:ascii="宋体" w:hAnsi="宋体"/>
          <w:szCs w:val="21"/>
        </w:rPr>
        <w:t>1.</w:t>
      </w:r>
      <w:r>
        <w:rPr>
          <w:rFonts w:ascii="宋体" w:hAnsi="宋体"/>
          <w:snapToGrid w:val="0"/>
          <w:szCs w:val="21"/>
        </w:rPr>
        <w:t>专业必修课程</w:t>
      </w:r>
    </w:p>
    <w:p>
      <w:pPr>
        <w:spacing w:line="360" w:lineRule="auto"/>
        <w:ind w:firstLine="420" w:firstLineChars="200"/>
        <w:rPr>
          <w:rFonts w:ascii="宋体" w:hAnsi="宋体"/>
          <w:snapToGrid w:val="0"/>
          <w:szCs w:val="21"/>
        </w:rPr>
      </w:pPr>
      <w:r>
        <w:rPr>
          <w:rFonts w:ascii="宋体" w:hAnsi="宋体"/>
          <w:snapToGrid w:val="0"/>
          <w:szCs w:val="21"/>
        </w:rPr>
        <w:t>专业必修课程包括：</w:t>
      </w:r>
      <w:r>
        <w:rPr>
          <w:rFonts w:hint="eastAsia" w:ascii="宋体" w:hAnsi="宋体"/>
          <w:snapToGrid w:val="0"/>
          <w:szCs w:val="21"/>
        </w:rPr>
        <w:t>计算机系统配置、电工与电子技术应用、局域网组建、网络设备配置与管理、信息网络布线、Windows网络操作系统、Windows服务器配置与管理、Linux系统安装与配置、Linux服务器配置与管理、高级语言程序设计、虚拟化技术、数据库应用、信息安全基础、Python程序设计、网络系统建设与运维、图形图像、网页制作、认识实习（工学交替）、</w:t>
      </w:r>
      <w:r>
        <w:rPr>
          <w:rFonts w:hint="eastAsia" w:ascii="宋体" w:hAnsi="宋体"/>
        </w:rPr>
        <w:t>岗位实习</w:t>
      </w:r>
      <w:r>
        <w:rPr>
          <w:rFonts w:hint="eastAsia" w:ascii="宋体" w:hAnsi="宋体"/>
          <w:snapToGrid w:val="0"/>
          <w:szCs w:val="21"/>
        </w:rPr>
        <w:t>等。</w:t>
      </w:r>
    </w:p>
    <w:p>
      <w:pPr>
        <w:spacing w:line="360" w:lineRule="auto"/>
        <w:ind w:firstLine="420" w:firstLineChars="200"/>
        <w:rPr>
          <w:rFonts w:ascii="宋体" w:hAnsi="宋体"/>
          <w:snapToGrid w:val="0"/>
          <w:szCs w:val="21"/>
        </w:rPr>
      </w:pPr>
      <w:bookmarkStart w:id="6" w:name="bookmark64"/>
      <w:bookmarkEnd w:id="6"/>
      <w:r>
        <w:rPr>
          <w:rFonts w:hint="eastAsia" w:ascii="宋体" w:hAnsi="宋体"/>
          <w:szCs w:val="21"/>
        </w:rPr>
        <w:t>2.</w:t>
      </w:r>
      <w:r>
        <w:rPr>
          <w:rFonts w:ascii="宋体" w:hAnsi="宋体"/>
          <w:snapToGrid w:val="0"/>
          <w:szCs w:val="21"/>
        </w:rPr>
        <w:t>专业选修课程</w:t>
      </w:r>
    </w:p>
    <w:p>
      <w:pPr>
        <w:spacing w:line="360" w:lineRule="auto"/>
        <w:ind w:firstLine="420" w:firstLineChars="200"/>
        <w:rPr>
          <w:rFonts w:ascii="宋体" w:hAnsi="宋体"/>
        </w:rPr>
      </w:pPr>
      <w:r>
        <w:rPr>
          <w:rFonts w:hint="eastAsia" w:ascii="宋体" w:hAnsi="宋体"/>
        </w:rPr>
        <w:t>云计算平台搭建、软件定义网络SDN技术、云存储技术与应用、容器云技术、公有云技术、云计算运维综合实训、WEB应用开发、Android移动端开发、人工智能技术、智能运维技术、物联网云平台与边缘技术、云计算开发综合实训等。</w:t>
      </w:r>
    </w:p>
    <w:p>
      <w:pPr>
        <w:overflowPunct w:val="0"/>
        <w:adjustRightInd w:val="0"/>
        <w:ind w:firstLine="420"/>
        <w:outlineLvl w:val="0"/>
        <w:rPr>
          <w:rFonts w:ascii="宋体" w:hAnsi="宋体"/>
        </w:rPr>
      </w:pPr>
      <w:r>
        <w:rPr>
          <w:rFonts w:eastAsia="楷体_GB2312"/>
          <w:b/>
          <w:sz w:val="24"/>
          <w:szCs w:val="24"/>
        </w:rPr>
        <w:t>（</w:t>
      </w:r>
      <w:r>
        <w:rPr>
          <w:rFonts w:hint="eastAsia" w:eastAsia="楷体_GB2312"/>
          <w:b/>
          <w:sz w:val="24"/>
          <w:szCs w:val="24"/>
        </w:rPr>
        <w:t>三</w:t>
      </w:r>
      <w:r>
        <w:rPr>
          <w:rFonts w:eastAsia="楷体_GB2312"/>
          <w:b/>
          <w:sz w:val="24"/>
          <w:szCs w:val="24"/>
        </w:rPr>
        <w:t>）</w:t>
      </w:r>
      <w:r>
        <w:rPr>
          <w:rFonts w:hint="eastAsia" w:eastAsia="楷体_GB2312"/>
          <w:b/>
          <w:sz w:val="24"/>
          <w:szCs w:val="24"/>
        </w:rPr>
        <w:t>专业核心课程主要教学内容</w:t>
      </w:r>
    </w:p>
    <w:p>
      <w:pPr>
        <w:spacing w:line="360" w:lineRule="auto"/>
        <w:ind w:firstLine="420" w:firstLineChars="200"/>
        <w:rPr>
          <w:rFonts w:ascii="宋体" w:hAnsi="宋体"/>
        </w:rPr>
      </w:pPr>
      <w:r>
        <w:rPr>
          <w:rFonts w:hint="eastAsia" w:ascii="宋体" w:hAnsi="宋体"/>
        </w:rPr>
        <w:t>主要专业核心课内容及要求如表2所示。</w:t>
      </w:r>
    </w:p>
    <w:p>
      <w:pPr>
        <w:spacing w:beforeLines="50" w:afterLines="50"/>
        <w:jc w:val="center"/>
        <w:rPr>
          <w:rFonts w:ascii="仿宋" w:hAnsi="仿宋" w:eastAsia="仿宋" w:cs="仿宋"/>
          <w:color w:val="FF0000"/>
          <w:sz w:val="24"/>
        </w:rPr>
      </w:pPr>
      <w:r>
        <w:rPr>
          <w:rFonts w:hint="eastAsia" w:ascii="仿宋" w:hAnsi="仿宋" w:eastAsia="仿宋" w:cs="仿宋"/>
          <w:b/>
          <w:bCs/>
        </w:rPr>
        <w:t>表2  专业核心课程</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85"/>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trPr>
        <w:tc>
          <w:tcPr>
            <w:tcW w:w="817" w:type="dxa"/>
            <w:vAlign w:val="center"/>
          </w:tcPr>
          <w:p>
            <w:pPr>
              <w:jc w:val="center"/>
              <w:rPr>
                <w:rFonts w:ascii="宋体" w:hAnsi="宋体"/>
                <w:b/>
                <w:sz w:val="18"/>
                <w:szCs w:val="18"/>
              </w:rPr>
            </w:pPr>
            <w:r>
              <w:rPr>
                <w:rFonts w:hint="eastAsia" w:ascii="宋体" w:hAnsi="宋体"/>
                <w:b/>
                <w:sz w:val="18"/>
                <w:szCs w:val="18"/>
              </w:rPr>
              <w:t>序号</w:t>
            </w:r>
          </w:p>
        </w:tc>
        <w:tc>
          <w:tcPr>
            <w:tcW w:w="1985" w:type="dxa"/>
            <w:vAlign w:val="center"/>
          </w:tcPr>
          <w:p>
            <w:pPr>
              <w:jc w:val="center"/>
              <w:rPr>
                <w:rFonts w:ascii="宋体" w:hAnsi="宋体"/>
                <w:b/>
                <w:sz w:val="18"/>
                <w:szCs w:val="18"/>
              </w:rPr>
            </w:pPr>
            <w:r>
              <w:rPr>
                <w:rFonts w:hint="eastAsia" w:ascii="宋体" w:hAnsi="宋体"/>
                <w:b/>
                <w:sz w:val="18"/>
                <w:szCs w:val="18"/>
              </w:rPr>
              <w:t>课程名称</w:t>
            </w:r>
          </w:p>
        </w:tc>
        <w:tc>
          <w:tcPr>
            <w:tcW w:w="5720" w:type="dxa"/>
            <w:vAlign w:val="center"/>
          </w:tcPr>
          <w:p>
            <w:pPr>
              <w:jc w:val="center"/>
              <w:rPr>
                <w:rFonts w:ascii="宋体" w:hAnsi="宋体"/>
                <w:b/>
                <w:sz w:val="18"/>
                <w:szCs w:val="18"/>
              </w:rPr>
            </w:pPr>
            <w:r>
              <w:rPr>
                <w:rFonts w:hint="eastAsia" w:ascii="宋体" w:hAnsi="宋体"/>
                <w:b/>
                <w:sz w:val="18"/>
                <w:szCs w:val="18"/>
              </w:rPr>
              <w:t>主要教学内容及要求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1</w:t>
            </w:r>
          </w:p>
        </w:tc>
        <w:tc>
          <w:tcPr>
            <w:tcW w:w="1985" w:type="dxa"/>
            <w:vAlign w:val="center"/>
          </w:tcPr>
          <w:p>
            <w:pPr>
              <w:spacing w:line="360" w:lineRule="auto"/>
              <w:rPr>
                <w:rFonts w:ascii="宋体" w:hAnsi="宋体" w:cs="仿宋"/>
                <w:sz w:val="18"/>
                <w:szCs w:val="18"/>
              </w:rPr>
            </w:pPr>
            <w:r>
              <w:rPr>
                <w:rFonts w:hint="eastAsia" w:ascii="宋体" w:hAnsi="宋体" w:cs="仿宋"/>
                <w:sz w:val="18"/>
                <w:szCs w:val="18"/>
              </w:rPr>
              <w:t>网络设备配置与管理</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内容：局域网络基本知识、网络设备的连接和登录、网络设备的管理、设备的基本应用、网络优化配置、网络安全配置、网络的互联配置。其中1为交换机部分，2为路由器部分。</w:t>
            </w:r>
          </w:p>
          <w:p>
            <w:pPr>
              <w:spacing w:line="360" w:lineRule="auto"/>
              <w:jc w:val="left"/>
              <w:rPr>
                <w:rFonts w:ascii="宋体" w:hAnsi="宋体" w:cs="仿宋"/>
                <w:sz w:val="18"/>
                <w:szCs w:val="18"/>
              </w:rPr>
            </w:pPr>
            <w:r>
              <w:rPr>
                <w:rFonts w:hint="eastAsia" w:ascii="宋体" w:hAnsi="宋体" w:cs="仿宋"/>
                <w:sz w:val="18"/>
                <w:szCs w:val="18"/>
              </w:rPr>
              <w:t>要求：具备利用交换机和路由器组建中小型局域网的能力，掌握组建数据网络的基本概念以及两种设备的连接、配置、维护和排错基本技能。掌握无线网络的配置与管理。培养学生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动手实践和解决实际问题的能力、精益求精的工匠精神。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2</w:t>
            </w:r>
          </w:p>
        </w:tc>
        <w:tc>
          <w:tcPr>
            <w:tcW w:w="1985" w:type="dxa"/>
            <w:vAlign w:val="center"/>
          </w:tcPr>
          <w:p>
            <w:pPr>
              <w:spacing w:line="360" w:lineRule="auto"/>
              <w:rPr>
                <w:rFonts w:ascii="宋体" w:hAnsi="宋体" w:cs="仿宋"/>
                <w:sz w:val="18"/>
                <w:szCs w:val="18"/>
              </w:rPr>
            </w:pPr>
            <w:r>
              <w:rPr>
                <w:rFonts w:ascii="宋体" w:hAnsi="宋体" w:cs="仿宋"/>
                <w:sz w:val="18"/>
                <w:szCs w:val="18"/>
              </w:rPr>
              <w:t>W</w:t>
            </w:r>
            <w:r>
              <w:rPr>
                <w:rFonts w:hint="eastAsia" w:ascii="宋体" w:hAnsi="宋体" w:cs="仿宋"/>
                <w:sz w:val="18"/>
                <w:szCs w:val="18"/>
              </w:rPr>
              <w:t>indows服务器配置与管理</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内容：网络类型基本概念、系统基本配置、共享文件的应用、用户管理方式、NTFS权限的应用、磁盘管理等以及常用服务器的配置与应用。</w:t>
            </w:r>
          </w:p>
          <w:p>
            <w:pPr>
              <w:spacing w:line="360" w:lineRule="auto"/>
              <w:jc w:val="left"/>
              <w:rPr>
                <w:rFonts w:ascii="宋体" w:hAnsi="宋体" w:cs="仿宋"/>
                <w:sz w:val="18"/>
                <w:szCs w:val="18"/>
              </w:rPr>
            </w:pPr>
            <w:r>
              <w:rPr>
                <w:rFonts w:hint="eastAsia" w:ascii="宋体" w:hAnsi="宋体" w:cs="仿宋"/>
                <w:sz w:val="18"/>
                <w:szCs w:val="18"/>
              </w:rPr>
              <w:t>要求：具备利用Windows网络操作系统管理网络资源的能力，掌握Windows网络操作系统的基本操作技能及资源管理的方法和意义。培养学生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动手实践和解决实际问题的能力、精益求精的工匠精神。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3</w:t>
            </w:r>
          </w:p>
        </w:tc>
        <w:tc>
          <w:tcPr>
            <w:tcW w:w="1985" w:type="dxa"/>
            <w:vAlign w:val="center"/>
          </w:tcPr>
          <w:p>
            <w:pPr>
              <w:spacing w:line="360" w:lineRule="auto"/>
              <w:rPr>
                <w:rFonts w:ascii="宋体" w:hAnsi="宋体" w:cs="仿宋"/>
                <w:sz w:val="18"/>
                <w:szCs w:val="18"/>
              </w:rPr>
            </w:pPr>
            <w:r>
              <w:rPr>
                <w:rFonts w:hint="eastAsia" w:cs="Tahoma"/>
                <w:sz w:val="18"/>
                <w:szCs w:val="18"/>
              </w:rPr>
              <w:t>Linux系统安装与配置</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内容：Linux系统安装、文件系统、用户与用户组、服务与进程、软件安装与包管理工具、网络连接以及shell编程基础。</w:t>
            </w:r>
          </w:p>
          <w:p>
            <w:pPr>
              <w:spacing w:line="360" w:lineRule="auto"/>
              <w:jc w:val="left"/>
              <w:rPr>
                <w:rFonts w:ascii="宋体" w:hAnsi="宋体" w:cs="仿宋"/>
                <w:sz w:val="18"/>
                <w:szCs w:val="18"/>
              </w:rPr>
            </w:pPr>
            <w:r>
              <w:rPr>
                <w:rFonts w:hint="eastAsia" w:ascii="宋体" w:hAnsi="宋体" w:cs="仿宋"/>
                <w:sz w:val="18"/>
                <w:szCs w:val="18"/>
              </w:rPr>
              <w:t>要求：具备安装主流Linux系统能力，掌握文件配置、文件系统、用户与用户组、服务与进程、软件安装与包管理工具、网络连接设置能力以及初步的shell编程能力。培养学生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动手实践和解决实际问题的能力、精益求精的工匠精神。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4</w:t>
            </w:r>
          </w:p>
        </w:tc>
        <w:tc>
          <w:tcPr>
            <w:tcW w:w="1985" w:type="dxa"/>
            <w:vAlign w:val="center"/>
          </w:tcPr>
          <w:p>
            <w:pPr>
              <w:spacing w:line="360" w:lineRule="auto"/>
              <w:rPr>
                <w:rFonts w:ascii="宋体" w:hAnsi="宋体" w:cs="仿宋"/>
                <w:sz w:val="18"/>
                <w:szCs w:val="18"/>
              </w:rPr>
            </w:pPr>
            <w:r>
              <w:rPr>
                <w:rFonts w:hint="eastAsia" w:cs="Tahoma"/>
                <w:sz w:val="18"/>
                <w:szCs w:val="18"/>
              </w:rPr>
              <w:t>Linux服务器配置与管理</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内容：Samba服务器、MySQL数据库服务器、web服务器、DNS服务器、DHCP服务器、FTP服务器、时间服务器和目录服务器等服务功能的配置、服务功能的排错、服务器的日常管理。</w:t>
            </w:r>
          </w:p>
          <w:p>
            <w:pPr>
              <w:spacing w:line="360" w:lineRule="auto"/>
              <w:jc w:val="left"/>
              <w:rPr>
                <w:rFonts w:ascii="宋体" w:hAnsi="宋体" w:cs="仿宋"/>
                <w:sz w:val="18"/>
                <w:szCs w:val="18"/>
              </w:rPr>
            </w:pPr>
            <w:r>
              <w:rPr>
                <w:rFonts w:hint="eastAsia" w:ascii="宋体" w:hAnsi="宋体" w:cs="仿宋"/>
                <w:sz w:val="18"/>
                <w:szCs w:val="18"/>
              </w:rPr>
              <w:t>要求：具备利用Linux服务器系统组建企业常用服务器的能力，掌握DNS、DHCP、WEB、FTP、邮件服务等的基本配置和维护技能和数据安全维护能力。培养学生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动手实践和解决实际问题的能力、精益求精的工匠精神。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5</w:t>
            </w:r>
          </w:p>
        </w:tc>
        <w:tc>
          <w:tcPr>
            <w:tcW w:w="1985" w:type="dxa"/>
            <w:vAlign w:val="center"/>
          </w:tcPr>
          <w:p>
            <w:pPr>
              <w:spacing w:line="360" w:lineRule="auto"/>
              <w:rPr>
                <w:rFonts w:ascii="宋体" w:hAnsi="宋体" w:cs="仿宋"/>
                <w:sz w:val="18"/>
                <w:szCs w:val="18"/>
              </w:rPr>
            </w:pPr>
            <w:r>
              <w:rPr>
                <w:rFonts w:hint="eastAsia" w:ascii="宋体" w:hAnsi="宋体" w:cs="仿宋"/>
                <w:sz w:val="18"/>
                <w:szCs w:val="18"/>
              </w:rPr>
              <w:t>Python程序设计</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内容：Python语言语法、编程方式等，Python脚本和库的使用，利用Python语言进行小型程序开发。</w:t>
            </w:r>
          </w:p>
          <w:p>
            <w:pPr>
              <w:spacing w:line="360" w:lineRule="auto"/>
              <w:jc w:val="left"/>
              <w:rPr>
                <w:rFonts w:ascii="宋体" w:hAnsi="宋体" w:cs="仿宋"/>
                <w:sz w:val="18"/>
                <w:szCs w:val="18"/>
              </w:rPr>
            </w:pPr>
            <w:r>
              <w:rPr>
                <w:rFonts w:hint="eastAsia" w:ascii="宋体" w:hAnsi="宋体" w:cs="仿宋"/>
                <w:sz w:val="18"/>
                <w:szCs w:val="18"/>
              </w:rPr>
              <w:t>要求：理解程序设计语言的计算机思路。掌握Python语言基本应用、能够实现简单程序编制和调试。能够利用Python语言编制简单的自动化运维程序。能够P</w:t>
            </w:r>
            <w:r>
              <w:rPr>
                <w:rFonts w:ascii="宋体" w:hAnsi="宋体" w:cs="仿宋"/>
                <w:sz w:val="18"/>
                <w:szCs w:val="18"/>
              </w:rPr>
              <w:t>ython运维脚本编写</w:t>
            </w:r>
            <w:r>
              <w:rPr>
                <w:rFonts w:hint="eastAsia" w:ascii="宋体" w:hAnsi="宋体" w:cs="仿宋"/>
                <w:sz w:val="18"/>
                <w:szCs w:val="18"/>
              </w:rPr>
              <w:t>、</w:t>
            </w:r>
            <w:r>
              <w:rPr>
                <w:rFonts w:ascii="宋体" w:hAnsi="宋体" w:cs="仿宋"/>
                <w:sz w:val="18"/>
                <w:szCs w:val="18"/>
              </w:rPr>
              <w:t>psutil</w:t>
            </w:r>
            <w:r>
              <w:rPr>
                <w:rFonts w:hint="eastAsia" w:ascii="宋体" w:hAnsi="宋体" w:cs="仿宋"/>
                <w:sz w:val="18"/>
                <w:szCs w:val="18"/>
              </w:rPr>
              <w:t>、</w:t>
            </w:r>
            <w:r>
              <w:rPr>
                <w:rFonts w:ascii="宋体" w:hAnsi="宋体" w:cs="仿宋"/>
                <w:sz w:val="18"/>
                <w:szCs w:val="18"/>
              </w:rPr>
              <w:t>IPy</w:t>
            </w:r>
            <w:r>
              <w:rPr>
                <w:rFonts w:hint="eastAsia" w:ascii="宋体" w:hAnsi="宋体" w:cs="仿宋"/>
                <w:sz w:val="18"/>
                <w:szCs w:val="18"/>
              </w:rPr>
              <w:t>、</w:t>
            </w:r>
            <w:r>
              <w:rPr>
                <w:rFonts w:ascii="宋体" w:hAnsi="宋体" w:cs="仿宋"/>
                <w:sz w:val="18"/>
                <w:szCs w:val="18"/>
              </w:rPr>
              <w:t>filecmp</w:t>
            </w:r>
            <w:r>
              <w:rPr>
                <w:rFonts w:hint="eastAsia" w:ascii="宋体" w:hAnsi="宋体" w:cs="仿宋"/>
                <w:sz w:val="18"/>
                <w:szCs w:val="18"/>
              </w:rPr>
              <w:t>、</w:t>
            </w:r>
            <w:r>
              <w:rPr>
                <w:rFonts w:ascii="宋体" w:hAnsi="宋体" w:cs="仿宋"/>
                <w:sz w:val="18"/>
                <w:szCs w:val="18"/>
              </w:rPr>
              <w:t>pycurl</w:t>
            </w:r>
            <w:r>
              <w:rPr>
                <w:rFonts w:hint="eastAsia" w:ascii="宋体" w:hAnsi="宋体" w:cs="仿宋"/>
                <w:sz w:val="18"/>
                <w:szCs w:val="18"/>
              </w:rPr>
              <w:t>、</w:t>
            </w:r>
            <w:r>
              <w:rPr>
                <w:rFonts w:ascii="宋体" w:hAnsi="宋体" w:cs="仿宋"/>
                <w:sz w:val="18"/>
                <w:szCs w:val="18"/>
              </w:rPr>
              <w:t>图形化编程等。</w:t>
            </w:r>
            <w:r>
              <w:rPr>
                <w:rFonts w:hint="eastAsia" w:ascii="宋体" w:hAnsi="宋体" w:cs="仿宋"/>
                <w:sz w:val="18"/>
                <w:szCs w:val="18"/>
              </w:rPr>
              <w:t>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6</w:t>
            </w:r>
          </w:p>
        </w:tc>
        <w:tc>
          <w:tcPr>
            <w:tcW w:w="1985" w:type="dxa"/>
            <w:vAlign w:val="center"/>
          </w:tcPr>
          <w:p>
            <w:pPr>
              <w:spacing w:line="360" w:lineRule="auto"/>
              <w:rPr>
                <w:rFonts w:ascii="宋体" w:hAnsi="宋体" w:cs="仿宋"/>
                <w:sz w:val="18"/>
                <w:szCs w:val="18"/>
              </w:rPr>
            </w:pPr>
            <w:r>
              <w:rPr>
                <w:rFonts w:ascii="宋体" w:hAnsi="宋体" w:cs="仿宋"/>
                <w:sz w:val="18"/>
                <w:szCs w:val="18"/>
              </w:rPr>
              <w:t>虚拟化技术</w:t>
            </w:r>
          </w:p>
        </w:tc>
        <w:tc>
          <w:tcPr>
            <w:tcW w:w="5720" w:type="dxa"/>
          </w:tcPr>
          <w:p>
            <w:pPr>
              <w:spacing w:line="360" w:lineRule="auto"/>
              <w:jc w:val="left"/>
              <w:rPr>
                <w:rFonts w:ascii="宋体" w:hAnsi="宋体" w:cs="仿宋"/>
                <w:sz w:val="18"/>
                <w:szCs w:val="18"/>
              </w:rPr>
            </w:pPr>
            <w:r>
              <w:rPr>
                <w:rFonts w:ascii="宋体" w:hAnsi="宋体" w:cs="仿宋"/>
                <w:sz w:val="18"/>
                <w:szCs w:val="18"/>
              </w:rPr>
              <w:t>内容：</w:t>
            </w:r>
            <w:r>
              <w:rPr>
                <w:rFonts w:hint="eastAsia" w:ascii="宋体" w:hAnsi="宋体" w:cs="仿宋"/>
                <w:sz w:val="18"/>
                <w:szCs w:val="18"/>
              </w:rPr>
              <w:t>虚拟化概念，虚拟化分类，虚拟化原理，存储虚拟化，网络虚拟化等，</w:t>
            </w:r>
            <w:r>
              <w:rPr>
                <w:rFonts w:ascii="宋体" w:hAnsi="宋体" w:cs="仿宋"/>
                <w:sz w:val="18"/>
                <w:szCs w:val="18"/>
              </w:rPr>
              <w:t>自动化运维框架的原理和搭建以及容器云的相关技术。</w:t>
            </w:r>
            <w:r>
              <w:rPr>
                <w:rFonts w:hint="eastAsia" w:ascii="宋体" w:hAnsi="宋体" w:cs="仿宋"/>
                <w:sz w:val="18"/>
                <w:szCs w:val="18"/>
              </w:rPr>
              <w:t>虚拟桌面及应用虚拟化。</w:t>
            </w:r>
          </w:p>
          <w:p>
            <w:pPr>
              <w:spacing w:line="360" w:lineRule="auto"/>
              <w:jc w:val="left"/>
              <w:rPr>
                <w:rFonts w:ascii="宋体" w:hAnsi="宋体" w:cs="仿宋"/>
                <w:sz w:val="18"/>
                <w:szCs w:val="18"/>
              </w:rPr>
            </w:pPr>
            <w:r>
              <w:rPr>
                <w:rFonts w:ascii="宋体" w:hAnsi="宋体" w:cs="仿宋"/>
                <w:sz w:val="18"/>
                <w:szCs w:val="18"/>
              </w:rPr>
              <w:t>要求：熟悉</w:t>
            </w:r>
            <w:r>
              <w:rPr>
                <w:rFonts w:hint="eastAsia" w:ascii="宋体" w:hAnsi="宋体" w:cs="仿宋"/>
                <w:sz w:val="18"/>
                <w:szCs w:val="18"/>
              </w:rPr>
              <w:t>KVM</w:t>
            </w:r>
            <w:r>
              <w:rPr>
                <w:rFonts w:ascii="宋体" w:hAnsi="宋体" w:cs="仿宋"/>
                <w:sz w:val="18"/>
                <w:szCs w:val="18"/>
              </w:rPr>
              <w:t>虚拟化、VMware平台</w:t>
            </w:r>
            <w:r>
              <w:rPr>
                <w:rFonts w:hint="eastAsia" w:ascii="宋体" w:hAnsi="宋体" w:cs="仿宋"/>
                <w:sz w:val="18"/>
                <w:szCs w:val="18"/>
              </w:rPr>
              <w:t>ESXI</w:t>
            </w:r>
            <w:r>
              <w:rPr>
                <w:rFonts w:ascii="宋体" w:hAnsi="宋体" w:cs="仿宋"/>
                <w:sz w:val="18"/>
                <w:szCs w:val="18"/>
              </w:rPr>
              <w:t>以及libvirt、virsh等虚拟机管理工具。熟悉自动化运维框架的原理和搭建，熟悉容器云的相关技术</w:t>
            </w:r>
            <w:r>
              <w:rPr>
                <w:rFonts w:hint="eastAsia" w:ascii="宋体" w:hAnsi="宋体" w:cs="仿宋"/>
                <w:sz w:val="18"/>
                <w:szCs w:val="18"/>
              </w:rPr>
              <w:t>，熟悉VXLAN，N</w:t>
            </w:r>
            <w:r>
              <w:rPr>
                <w:rFonts w:ascii="宋体" w:hAnsi="宋体" w:cs="仿宋"/>
                <w:sz w:val="18"/>
                <w:szCs w:val="18"/>
              </w:rPr>
              <w:t>FV等内容</w:t>
            </w:r>
            <w:r>
              <w:rPr>
                <w:rFonts w:hint="eastAsia" w:ascii="宋体" w:hAnsi="宋体" w:cs="仿宋"/>
                <w:sz w:val="18"/>
                <w:szCs w:val="18"/>
              </w:rPr>
              <w:t>。掌握虚拟桌面及应用虚拟化。培养学生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7</w:t>
            </w:r>
          </w:p>
        </w:tc>
        <w:tc>
          <w:tcPr>
            <w:tcW w:w="1985" w:type="dxa"/>
            <w:vAlign w:val="center"/>
          </w:tcPr>
          <w:p>
            <w:pPr>
              <w:spacing w:line="360" w:lineRule="auto"/>
              <w:jc w:val="left"/>
              <w:rPr>
                <w:rFonts w:ascii="宋体" w:hAnsi="宋体" w:cs="仿宋"/>
                <w:sz w:val="18"/>
                <w:szCs w:val="18"/>
              </w:rPr>
            </w:pPr>
            <w:r>
              <w:rPr>
                <w:rFonts w:hint="eastAsia" w:ascii="宋体" w:hAnsi="宋体" w:cs="仿宋"/>
                <w:sz w:val="18"/>
                <w:szCs w:val="18"/>
              </w:rPr>
              <w:t>云计算平台搭建</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w:t>
            </w:r>
            <w:r>
              <w:rPr>
                <w:rFonts w:ascii="宋体" w:hAnsi="宋体" w:cs="仿宋"/>
                <w:sz w:val="18"/>
                <w:szCs w:val="18"/>
              </w:rPr>
              <w:t>开源平台的逻辑架构和组件功能以及关系、</w:t>
            </w:r>
            <w:r>
              <w:rPr>
                <w:rFonts w:hint="eastAsia" w:ascii="宋体" w:hAnsi="宋体" w:cs="仿宋"/>
                <w:sz w:val="18"/>
                <w:szCs w:val="18"/>
              </w:rPr>
              <w:t>利用云计算平台软件搭建私有云计算平台、云计算平台应用。</w:t>
            </w:r>
            <w:r>
              <w:rPr>
                <w:rFonts w:ascii="宋体" w:hAnsi="宋体" w:cs="仿宋"/>
                <w:sz w:val="18"/>
                <w:szCs w:val="18"/>
              </w:rPr>
              <w:t>平台安装部署</w:t>
            </w:r>
            <w:r>
              <w:rPr>
                <w:rFonts w:hint="eastAsia" w:ascii="宋体" w:hAnsi="宋体" w:cs="仿宋"/>
                <w:sz w:val="18"/>
                <w:szCs w:val="18"/>
              </w:rPr>
              <w:t>、</w:t>
            </w:r>
            <w:r>
              <w:rPr>
                <w:rFonts w:ascii="宋体" w:hAnsi="宋体" w:cs="仿宋"/>
                <w:sz w:val="18"/>
                <w:szCs w:val="18"/>
              </w:rPr>
              <w:t>虚拟机创建</w:t>
            </w:r>
            <w:r>
              <w:rPr>
                <w:rFonts w:hint="eastAsia" w:ascii="宋体" w:hAnsi="宋体" w:cs="仿宋"/>
                <w:sz w:val="18"/>
                <w:szCs w:val="18"/>
              </w:rPr>
              <w:t>、</w:t>
            </w:r>
            <w:r>
              <w:rPr>
                <w:rFonts w:ascii="宋体" w:hAnsi="宋体" w:cs="仿宋"/>
                <w:sz w:val="18"/>
                <w:szCs w:val="18"/>
              </w:rPr>
              <w:t>虚拟机管理</w:t>
            </w:r>
            <w:r>
              <w:rPr>
                <w:rFonts w:hint="eastAsia" w:ascii="宋体" w:hAnsi="宋体" w:cs="仿宋"/>
                <w:sz w:val="18"/>
                <w:szCs w:val="18"/>
              </w:rPr>
              <w:t>、虚拟</w:t>
            </w:r>
            <w:r>
              <w:rPr>
                <w:rFonts w:ascii="宋体" w:hAnsi="宋体" w:cs="仿宋"/>
                <w:sz w:val="18"/>
                <w:szCs w:val="18"/>
              </w:rPr>
              <w:t>资源管理</w:t>
            </w:r>
            <w:r>
              <w:rPr>
                <w:rFonts w:hint="eastAsia" w:ascii="宋体" w:hAnsi="宋体" w:cs="仿宋"/>
                <w:sz w:val="18"/>
                <w:szCs w:val="18"/>
              </w:rPr>
              <w:t>、</w:t>
            </w:r>
            <w:r>
              <w:rPr>
                <w:rFonts w:ascii="宋体" w:hAnsi="宋体" w:cs="仿宋"/>
                <w:sz w:val="18"/>
                <w:szCs w:val="18"/>
              </w:rPr>
              <w:t>网络和存储管理</w:t>
            </w:r>
            <w:r>
              <w:rPr>
                <w:rFonts w:hint="eastAsia" w:ascii="宋体" w:hAnsi="宋体" w:cs="仿宋"/>
                <w:sz w:val="18"/>
                <w:szCs w:val="18"/>
              </w:rPr>
              <w:t>。</w:t>
            </w:r>
            <w:r>
              <w:rPr>
                <w:rFonts w:ascii="宋体" w:hAnsi="宋体" w:cs="仿宋"/>
                <w:sz w:val="18"/>
                <w:szCs w:val="18"/>
              </w:rPr>
              <w:t>虚拟桌面的创建和发放</w:t>
            </w:r>
            <w:r>
              <w:rPr>
                <w:rFonts w:hint="eastAsia" w:ascii="宋体" w:hAnsi="宋体" w:cs="仿宋"/>
                <w:sz w:val="18"/>
                <w:szCs w:val="18"/>
              </w:rPr>
              <w:t>、</w:t>
            </w:r>
            <w:r>
              <w:rPr>
                <w:rFonts w:ascii="宋体" w:hAnsi="宋体" w:cs="仿宋"/>
                <w:sz w:val="18"/>
                <w:szCs w:val="18"/>
              </w:rPr>
              <w:t>应用虚拟化的部署等。</w:t>
            </w:r>
          </w:p>
          <w:p>
            <w:pPr>
              <w:spacing w:line="360" w:lineRule="auto"/>
              <w:jc w:val="left"/>
              <w:rPr>
                <w:rFonts w:ascii="宋体" w:hAnsi="宋体" w:cs="仿宋"/>
                <w:sz w:val="18"/>
                <w:szCs w:val="18"/>
              </w:rPr>
            </w:pPr>
            <w:r>
              <w:rPr>
                <w:rFonts w:hint="eastAsia" w:ascii="宋体" w:hAnsi="宋体" w:cs="仿宋"/>
                <w:sz w:val="18"/>
                <w:szCs w:val="18"/>
              </w:rPr>
              <w:t>要求：能够实现云计算平台搭建、能够利用云计算平台提供虚拟化服务。掌握</w:t>
            </w:r>
            <w:r>
              <w:rPr>
                <w:rFonts w:ascii="宋体" w:hAnsi="宋体" w:cs="仿宋"/>
                <w:sz w:val="18"/>
                <w:szCs w:val="18"/>
              </w:rPr>
              <w:t>平台安装部署</w:t>
            </w:r>
            <w:r>
              <w:rPr>
                <w:rFonts w:hint="eastAsia" w:ascii="宋体" w:hAnsi="宋体" w:cs="仿宋"/>
                <w:sz w:val="18"/>
                <w:szCs w:val="18"/>
              </w:rPr>
              <w:t>、</w:t>
            </w:r>
            <w:r>
              <w:rPr>
                <w:rFonts w:ascii="宋体" w:hAnsi="宋体" w:cs="仿宋"/>
                <w:sz w:val="18"/>
                <w:szCs w:val="18"/>
              </w:rPr>
              <w:t>虚拟机创建</w:t>
            </w:r>
            <w:r>
              <w:rPr>
                <w:rFonts w:hint="eastAsia" w:ascii="宋体" w:hAnsi="宋体" w:cs="仿宋"/>
                <w:sz w:val="18"/>
                <w:szCs w:val="18"/>
              </w:rPr>
              <w:t>、</w:t>
            </w:r>
            <w:r>
              <w:rPr>
                <w:rFonts w:ascii="宋体" w:hAnsi="宋体" w:cs="仿宋"/>
                <w:sz w:val="18"/>
                <w:szCs w:val="18"/>
              </w:rPr>
              <w:t>虚拟机管理</w:t>
            </w:r>
            <w:r>
              <w:rPr>
                <w:rFonts w:hint="eastAsia" w:ascii="宋体" w:hAnsi="宋体" w:cs="仿宋"/>
                <w:sz w:val="18"/>
                <w:szCs w:val="18"/>
              </w:rPr>
              <w:t>、虚拟</w:t>
            </w:r>
            <w:r>
              <w:rPr>
                <w:rFonts w:ascii="宋体" w:hAnsi="宋体" w:cs="仿宋"/>
                <w:sz w:val="18"/>
                <w:szCs w:val="18"/>
              </w:rPr>
              <w:t>资源管理</w:t>
            </w:r>
            <w:r>
              <w:rPr>
                <w:rFonts w:hint="eastAsia" w:ascii="宋体" w:hAnsi="宋体" w:cs="仿宋"/>
                <w:sz w:val="18"/>
                <w:szCs w:val="18"/>
              </w:rPr>
              <w:t>、</w:t>
            </w:r>
            <w:r>
              <w:rPr>
                <w:rFonts w:ascii="宋体" w:hAnsi="宋体" w:cs="仿宋"/>
                <w:sz w:val="18"/>
                <w:szCs w:val="18"/>
              </w:rPr>
              <w:t>网络和存储管理</w:t>
            </w:r>
            <w:r>
              <w:rPr>
                <w:rFonts w:hint="eastAsia" w:ascii="宋体" w:hAnsi="宋体" w:cs="仿宋"/>
                <w:sz w:val="18"/>
                <w:szCs w:val="18"/>
              </w:rPr>
              <w:t>。掌握</w:t>
            </w:r>
            <w:r>
              <w:rPr>
                <w:rFonts w:ascii="宋体" w:hAnsi="宋体" w:cs="仿宋"/>
                <w:sz w:val="18"/>
                <w:szCs w:val="18"/>
              </w:rPr>
              <w:t>虚拟桌面的创建和发放</w:t>
            </w:r>
            <w:r>
              <w:rPr>
                <w:rFonts w:hint="eastAsia" w:ascii="宋体" w:hAnsi="宋体" w:cs="仿宋"/>
                <w:sz w:val="18"/>
                <w:szCs w:val="18"/>
              </w:rPr>
              <w:t>、</w:t>
            </w:r>
            <w:r>
              <w:rPr>
                <w:rFonts w:ascii="宋体" w:hAnsi="宋体" w:cs="仿宋"/>
                <w:sz w:val="18"/>
                <w:szCs w:val="18"/>
              </w:rPr>
              <w:t>应用虚拟化的部署等</w:t>
            </w:r>
            <w:r>
              <w:rPr>
                <w:rFonts w:hint="eastAsia" w:ascii="宋体" w:hAnsi="宋体" w:cs="仿宋"/>
                <w:sz w:val="18"/>
                <w:szCs w:val="18"/>
              </w:rPr>
              <w:t>。</w:t>
            </w:r>
            <w:r>
              <w:rPr>
                <w:rFonts w:ascii="宋体" w:hAnsi="宋体" w:cs="仿宋"/>
                <w:sz w:val="18"/>
                <w:szCs w:val="18"/>
              </w:rPr>
              <w:t>掌握OpenStack等平台的安装、配置等操作，OpenStack</w:t>
            </w:r>
            <w:r>
              <w:rPr>
                <w:rFonts w:hint="eastAsia" w:ascii="宋体" w:hAnsi="宋体" w:cs="仿宋"/>
                <w:sz w:val="18"/>
                <w:szCs w:val="18"/>
              </w:rPr>
              <w:t>架构理解</w:t>
            </w:r>
            <w:r>
              <w:rPr>
                <w:rFonts w:ascii="宋体" w:hAnsi="宋体" w:cs="仿宋"/>
                <w:sz w:val="18"/>
                <w:szCs w:val="18"/>
              </w:rPr>
              <w:t>。</w:t>
            </w:r>
            <w:r>
              <w:rPr>
                <w:rFonts w:hint="eastAsia" w:ascii="宋体" w:hAnsi="宋体" w:cs="仿宋"/>
                <w:sz w:val="18"/>
                <w:szCs w:val="18"/>
              </w:rPr>
              <w:t>培养学生</w:t>
            </w:r>
            <w:r>
              <w:rPr>
                <w:rFonts w:ascii="宋体" w:hAnsi="宋体" w:cs="仿宋"/>
                <w:sz w:val="18"/>
                <w:szCs w:val="18"/>
              </w:rPr>
              <w:t>履行职业道德准则和行为规范，具有自我管理能力和规划意识</w:t>
            </w:r>
            <w:r>
              <w:rPr>
                <w:rFonts w:hint="eastAsia" w:ascii="宋体" w:hAnsi="宋体" w:cs="仿宋"/>
                <w:sz w:val="18"/>
                <w:szCs w:val="18"/>
              </w:rPr>
              <w:t>、精益求精的工匠精神。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600" w:lineRule="exact"/>
              <w:jc w:val="center"/>
              <w:rPr>
                <w:rFonts w:ascii="宋体" w:hAnsi="宋体" w:cs="仿宋"/>
                <w:sz w:val="18"/>
                <w:szCs w:val="18"/>
              </w:rPr>
            </w:pPr>
            <w:r>
              <w:rPr>
                <w:rFonts w:hint="eastAsia" w:ascii="宋体" w:hAnsi="宋体" w:cs="仿宋"/>
                <w:sz w:val="18"/>
                <w:szCs w:val="18"/>
              </w:rPr>
              <w:t>8</w:t>
            </w:r>
          </w:p>
        </w:tc>
        <w:tc>
          <w:tcPr>
            <w:tcW w:w="1985" w:type="dxa"/>
            <w:vAlign w:val="center"/>
          </w:tcPr>
          <w:p>
            <w:pPr>
              <w:spacing w:line="360" w:lineRule="auto"/>
              <w:rPr>
                <w:rFonts w:ascii="宋体" w:hAnsi="宋体" w:cs="仿宋"/>
                <w:sz w:val="18"/>
                <w:szCs w:val="18"/>
              </w:rPr>
            </w:pPr>
            <w:r>
              <w:rPr>
                <w:rFonts w:hint="eastAsia" w:ascii="宋体" w:hAnsi="宋体" w:cs="仿宋"/>
                <w:sz w:val="18"/>
                <w:szCs w:val="18"/>
              </w:rPr>
              <w:t>信息安全基础</w:t>
            </w:r>
          </w:p>
        </w:tc>
        <w:tc>
          <w:tcPr>
            <w:tcW w:w="5720" w:type="dxa"/>
          </w:tcPr>
          <w:p>
            <w:pPr>
              <w:spacing w:line="360" w:lineRule="auto"/>
              <w:jc w:val="left"/>
              <w:rPr>
                <w:rFonts w:ascii="宋体" w:hAnsi="宋体" w:cs="仿宋"/>
                <w:sz w:val="18"/>
                <w:szCs w:val="18"/>
              </w:rPr>
            </w:pPr>
            <w:r>
              <w:rPr>
                <w:rFonts w:hint="eastAsia" w:ascii="宋体" w:hAnsi="宋体" w:cs="仿宋"/>
                <w:sz w:val="18"/>
                <w:szCs w:val="18"/>
              </w:rPr>
              <w:t>内容：信息安全管理、安全风险评估、信息安全技术、安全技术应用、安全法律法规、网站安全维护。</w:t>
            </w:r>
          </w:p>
          <w:p>
            <w:pPr>
              <w:spacing w:line="360" w:lineRule="auto"/>
              <w:jc w:val="left"/>
              <w:rPr>
                <w:rFonts w:ascii="宋体" w:hAnsi="宋体" w:cs="仿宋"/>
                <w:sz w:val="18"/>
                <w:szCs w:val="18"/>
              </w:rPr>
            </w:pPr>
            <w:r>
              <w:rPr>
                <w:rFonts w:hint="eastAsia" w:ascii="宋体" w:hAnsi="宋体" w:cs="仿宋"/>
                <w:sz w:val="18"/>
                <w:szCs w:val="18"/>
              </w:rPr>
              <w:t>要求：能够熟练运用各种网络安全技术，掌握各种网络安全配置方法，并能根据实际应用需求进行网络安全策略的设计，实施和检测。培养学生的</w:t>
            </w:r>
            <w:r>
              <w:rPr>
                <w:rFonts w:ascii="宋体" w:hAnsi="宋体" w:cs="仿宋"/>
                <w:sz w:val="18"/>
                <w:szCs w:val="18"/>
              </w:rPr>
              <w:t>质量意识、环保意识、安全意识、信息素养、工匠精神、创新思维。</w:t>
            </w:r>
          </w:p>
        </w:tc>
      </w:tr>
    </w:tbl>
    <w:p>
      <w:pPr>
        <w:overflowPunct w:val="0"/>
        <w:adjustRightInd w:val="0"/>
        <w:ind w:firstLine="482" w:firstLineChars="200"/>
        <w:outlineLvl w:val="0"/>
        <w:rPr>
          <w:rFonts w:eastAsia="楷体_GB2312"/>
          <w:b/>
          <w:sz w:val="24"/>
          <w:szCs w:val="24"/>
        </w:rPr>
      </w:pPr>
      <w:r>
        <w:rPr>
          <w:rFonts w:hint="eastAsia" w:eastAsia="楷体_GB2312"/>
          <w:b/>
          <w:sz w:val="24"/>
          <w:szCs w:val="24"/>
        </w:rPr>
        <w:t>（四）</w:t>
      </w:r>
      <w:r>
        <w:rPr>
          <w:rFonts w:eastAsia="楷体_GB2312"/>
          <w:b/>
          <w:sz w:val="24"/>
          <w:szCs w:val="24"/>
        </w:rPr>
        <w:t>实践性教学环节</w:t>
      </w:r>
    </w:p>
    <w:p>
      <w:pPr>
        <w:spacing w:line="360" w:lineRule="auto"/>
        <w:ind w:firstLine="420" w:firstLineChars="200"/>
        <w:rPr>
          <w:rFonts w:ascii="宋体" w:hAnsi="宋体"/>
        </w:rPr>
      </w:pPr>
      <w:r>
        <w:rPr>
          <w:rFonts w:ascii="宋体" w:hAnsi="宋体"/>
        </w:rPr>
        <w:t>实践性教学环节主要包括实训、实习、社会实践等。实验实训可在校内实验室、实训室以及校外实训基地等开展完成，主要有</w:t>
      </w:r>
      <w:r>
        <w:rPr>
          <w:rFonts w:hint="eastAsia" w:ascii="宋体" w:hAnsi="宋体"/>
        </w:rPr>
        <w:t>网络应用综合能力训练、云计算综合运维实训、网络安全综合实训。</w:t>
      </w:r>
    </w:p>
    <w:p>
      <w:pPr>
        <w:spacing w:line="360" w:lineRule="auto"/>
        <w:ind w:firstLine="420" w:firstLineChars="200"/>
        <w:rPr>
          <w:rFonts w:ascii="宋体" w:hAnsi="宋体"/>
        </w:rPr>
      </w:pPr>
      <w:r>
        <w:rPr>
          <w:rFonts w:ascii="宋体" w:hAnsi="宋体"/>
        </w:rPr>
        <w:t>毕业顶岗实习可由学校组织在计算机网络技术、云计算及应用等企业开展完成，应严格执行《职业学校学生实习管理规定》。</w:t>
      </w:r>
    </w:p>
    <w:p>
      <w:pPr>
        <w:overflowPunct w:val="0"/>
        <w:adjustRightInd w:val="0"/>
        <w:ind w:firstLine="482" w:firstLineChars="200"/>
        <w:outlineLvl w:val="0"/>
        <w:rPr>
          <w:rFonts w:eastAsia="楷体_GB2312"/>
          <w:b/>
          <w:sz w:val="24"/>
          <w:szCs w:val="24"/>
        </w:rPr>
      </w:pPr>
      <w:r>
        <w:rPr>
          <w:rFonts w:hint="eastAsia" w:eastAsia="楷体_GB2312"/>
          <w:b/>
          <w:sz w:val="24"/>
          <w:szCs w:val="24"/>
        </w:rPr>
        <w:t>（五）相关要求</w:t>
      </w:r>
    </w:p>
    <w:p>
      <w:pPr>
        <w:spacing w:line="360" w:lineRule="auto"/>
        <w:ind w:firstLine="420" w:firstLineChars="200"/>
        <w:rPr>
          <w:rFonts w:ascii="宋体" w:hAnsi="宋体"/>
        </w:rPr>
      </w:pPr>
      <w:r>
        <w:rPr>
          <w:rFonts w:ascii="宋体" w:hAnsi="宋体"/>
        </w:rPr>
        <w:t>统筹安排各类课程设置，注重理论与实践一体化教学；结合实际，开设安全教育、社会责任、绿色环保、管理等方面的选修课程、拓展课程或专题讲座（活动），并将有关内容融入专业课程教学；将创新创业教育融入专业课程教学和相关实践性教学；组织开展德育活动、志愿服务活动和其他实践活动。</w:t>
      </w:r>
    </w:p>
    <w:p>
      <w:pPr>
        <w:overflowPunct w:val="0"/>
        <w:adjustRightInd w:val="0"/>
        <w:ind w:firstLine="480" w:firstLineChars="200"/>
        <w:outlineLvl w:val="0"/>
        <w:rPr>
          <w:rFonts w:eastAsia="黑体"/>
          <w:sz w:val="24"/>
          <w:szCs w:val="24"/>
        </w:rPr>
      </w:pPr>
      <w:bookmarkStart w:id="7" w:name="bookmark66"/>
      <w:bookmarkEnd w:id="7"/>
      <w:r>
        <w:rPr>
          <w:rFonts w:eastAsia="黑体"/>
          <w:sz w:val="24"/>
          <w:szCs w:val="24"/>
        </w:rPr>
        <w:t>七、教学进程总体安排</w:t>
      </w:r>
    </w:p>
    <w:p>
      <w:pPr>
        <w:spacing w:line="360" w:lineRule="auto"/>
        <w:rPr>
          <w:rFonts w:ascii="黑体" w:hAnsi="黑体" w:eastAsia="黑体" w:cs="黑体"/>
        </w:rPr>
      </w:pPr>
      <w:r>
        <w:rPr>
          <w:rFonts w:hint="eastAsia" w:ascii="黑体" w:hAnsi="黑体" w:eastAsia="黑体" w:cs="黑体"/>
        </w:rPr>
        <w:t>(一）学时安排</w:t>
      </w:r>
    </w:p>
    <w:p>
      <w:pPr>
        <w:spacing w:line="360" w:lineRule="auto"/>
        <w:jc w:val="center"/>
      </w:pPr>
      <w:r>
        <w:rPr>
          <w:rFonts w:hint="eastAsia"/>
        </w:rPr>
        <w:t xml:space="preserve">                    </w:t>
      </w: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r>
        <w:rPr>
          <w:rFonts w:hint="eastAsia"/>
        </w:rPr>
        <w:t xml:space="preserve">   </w:t>
      </w:r>
      <w:r>
        <w:t>表</w:t>
      </w:r>
      <w:r>
        <w:rPr>
          <w:rFonts w:hint="eastAsia"/>
        </w:rPr>
        <w:t>3</w:t>
      </w:r>
      <w:r>
        <w:t xml:space="preserve">  教学活动周进程安排表               单位：周</w:t>
      </w:r>
    </w:p>
    <w:tbl>
      <w:tblPr>
        <w:tblStyle w:val="5"/>
        <w:tblW w:w="7890" w:type="dxa"/>
        <w:tblInd w:w="0" w:type="dxa"/>
        <w:tblLayout w:type="autofit"/>
        <w:tblCellMar>
          <w:top w:w="0" w:type="dxa"/>
          <w:left w:w="0" w:type="dxa"/>
          <w:bottom w:w="0" w:type="dxa"/>
          <w:right w:w="0" w:type="dxa"/>
        </w:tblCellMar>
      </w:tblPr>
      <w:tblGrid>
        <w:gridCol w:w="1080"/>
        <w:gridCol w:w="750"/>
        <w:gridCol w:w="750"/>
        <w:gridCol w:w="750"/>
        <w:gridCol w:w="750"/>
        <w:gridCol w:w="750"/>
        <w:gridCol w:w="750"/>
        <w:gridCol w:w="750"/>
        <w:gridCol w:w="750"/>
        <w:gridCol w:w="810"/>
      </w:tblGrid>
      <w:tr>
        <w:tblPrEx>
          <w:tblCellMar>
            <w:top w:w="0" w:type="dxa"/>
            <w:left w:w="0" w:type="dxa"/>
            <w:bottom w:w="0" w:type="dxa"/>
            <w:right w:w="0" w:type="dxa"/>
          </w:tblCellMar>
        </w:tblPrEx>
        <w:trPr>
          <w:trHeight w:val="3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学期</w:t>
            </w:r>
          </w:p>
        </w:tc>
        <w:tc>
          <w:tcPr>
            <w:tcW w:w="750"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入学</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军 训</w:t>
            </w:r>
          </w:p>
        </w:tc>
        <w:tc>
          <w:tcPr>
            <w:tcW w:w="750"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课堂</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实训（实验）</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实习</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考 试</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机 动</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假 期</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总 计</w:t>
            </w:r>
          </w:p>
        </w:tc>
      </w:tr>
      <w:tr>
        <w:tblPrEx>
          <w:tblCellMar>
            <w:top w:w="0" w:type="dxa"/>
            <w:left w:w="0" w:type="dxa"/>
            <w:bottom w:w="0" w:type="dxa"/>
            <w:right w:w="0"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750"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教育</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750"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rPr>
              <w:t>教学</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cs="宋体"/>
                <w:b/>
                <w:color w:val="000000"/>
                <w:sz w:val="18"/>
                <w:szCs w:val="18"/>
              </w:rPr>
            </w:pPr>
          </w:p>
        </w:tc>
      </w:tr>
      <w:tr>
        <w:tblPrEx>
          <w:tblCellMar>
            <w:top w:w="0" w:type="dxa"/>
            <w:left w:w="0" w:type="dxa"/>
            <w:bottom w:w="0" w:type="dxa"/>
            <w:right w:w="0" w:type="dxa"/>
          </w:tblCellMar>
        </w:tblPrEx>
        <w:trPr>
          <w:trHeight w:val="285" w:hRule="atLeast"/>
        </w:trPr>
        <w:tc>
          <w:tcPr>
            <w:tcW w:w="108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第一学期</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17</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vMerge w:val="restart"/>
            <w:tcBorders>
              <w:top w:val="nil"/>
              <w:left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8</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第二学期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vMerge w:val="continue"/>
            <w:tcBorders>
              <w:left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300" w:lineRule="auto"/>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8</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28</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第三学期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vMerge w:val="continue"/>
            <w:tcBorders>
              <w:left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300" w:lineRule="auto"/>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第四学期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rPr>
                <w:rFonts w:ascii="宋体" w:hAnsi="宋体" w:cs="宋体"/>
                <w:color w:val="000000"/>
                <w:sz w:val="18"/>
                <w:szCs w:val="18"/>
              </w:rPr>
            </w:pPr>
            <w:r>
              <w:rPr>
                <w:rFonts w:hint="eastAsia" w:ascii="宋体" w:hAnsi="宋体"/>
                <w:color w:val="000000"/>
                <w:sz w:val="18"/>
                <w:szCs w:val="18"/>
              </w:rPr>
              <w:t>　0</w:t>
            </w:r>
          </w:p>
        </w:tc>
        <w:tc>
          <w:tcPr>
            <w:tcW w:w="750" w:type="dxa"/>
            <w:vMerge w:val="continue"/>
            <w:tcBorders>
              <w:left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300" w:lineRule="auto"/>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8</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28</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第五学期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vMerge w:val="continue"/>
            <w:tcBorders>
              <w:left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300" w:lineRule="auto"/>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第六学期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vMerge w:val="continue"/>
            <w:tcBorders>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300" w:lineRule="auto"/>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8</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olor w:val="000000"/>
                <w:sz w:val="18"/>
                <w:szCs w:val="18"/>
              </w:rPr>
              <w:t>28</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第七学期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　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第八学期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8</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28</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第九学期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　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24</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第十学期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jc w:val="center"/>
              <w:rPr>
                <w:rFonts w:ascii="宋体" w:hAnsi="宋体" w:cs="宋体"/>
                <w:color w:val="000000"/>
                <w:sz w:val="18"/>
                <w:szCs w:val="18"/>
              </w:rPr>
            </w:pPr>
            <w:r>
              <w:rPr>
                <w:rFonts w:hint="eastAsia" w:ascii="宋体" w:hAnsi="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20</w:t>
            </w:r>
          </w:p>
        </w:tc>
      </w:tr>
      <w:tr>
        <w:tblPrEx>
          <w:tblCellMar>
            <w:top w:w="0" w:type="dxa"/>
            <w:left w:w="0" w:type="dxa"/>
            <w:bottom w:w="0" w:type="dxa"/>
            <w:right w:w="0" w:type="dxa"/>
          </w:tblCellMar>
        </w:tblPrEx>
        <w:trPr>
          <w:trHeight w:val="285" w:hRule="atLeast"/>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总计</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139</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40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9</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52</w:t>
            </w:r>
          </w:p>
        </w:tc>
        <w:tc>
          <w:tcPr>
            <w:tcW w:w="81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olor w:val="000000"/>
                <w:sz w:val="18"/>
                <w:szCs w:val="18"/>
              </w:rPr>
              <w:t>252</w:t>
            </w:r>
          </w:p>
        </w:tc>
      </w:tr>
    </w:tbl>
    <w:p>
      <w:pPr>
        <w:numPr>
          <w:ilvl w:val="0"/>
          <w:numId w:val="3"/>
        </w:numPr>
        <w:spacing w:line="360" w:lineRule="auto"/>
        <w:rPr>
          <w:rFonts w:ascii="黑体" w:hAnsi="黑体" w:eastAsia="黑体" w:cs="黑体"/>
          <w:szCs w:val="22"/>
          <w:lang w:val="zh-CN"/>
        </w:rPr>
      </w:pPr>
      <w:r>
        <w:rPr>
          <w:rFonts w:hint="eastAsia" w:ascii="黑体" w:hAnsi="黑体" w:eastAsia="黑体" w:cs="黑体"/>
          <w:szCs w:val="22"/>
          <w:lang w:val="zh-CN"/>
        </w:rPr>
        <w:t>教学进程表</w:t>
      </w:r>
    </w:p>
    <w:p>
      <w:pPr>
        <w:spacing w:line="360" w:lineRule="auto"/>
        <w:jc w:val="center"/>
        <w:rPr>
          <w:rFonts w:ascii="黑体" w:hAnsi="黑体" w:eastAsia="黑体" w:cs="黑体"/>
          <w:szCs w:val="22"/>
          <w:lang w:val="zh-CN"/>
        </w:rPr>
      </w:pPr>
      <w:r>
        <w:rPr>
          <w:rFonts w:eastAsia="仿宋"/>
          <w:bCs/>
          <w:sz w:val="24"/>
          <w:szCs w:val="24"/>
        </w:rPr>
        <w:t>表</w:t>
      </w:r>
      <w:r>
        <w:rPr>
          <w:rFonts w:hint="eastAsia" w:eastAsia="仿宋"/>
          <w:bCs/>
          <w:sz w:val="24"/>
          <w:szCs w:val="24"/>
        </w:rPr>
        <w:t>4</w:t>
      </w:r>
      <w:r>
        <w:rPr>
          <w:rFonts w:eastAsia="仿宋"/>
          <w:bCs/>
          <w:sz w:val="24"/>
          <w:szCs w:val="24"/>
        </w:rPr>
        <w:t xml:space="preserve">  教学</w:t>
      </w:r>
      <w:r>
        <w:rPr>
          <w:rFonts w:hint="eastAsia" w:eastAsia="仿宋"/>
          <w:bCs/>
          <w:sz w:val="24"/>
          <w:szCs w:val="24"/>
        </w:rPr>
        <w:t>进程表</w:t>
      </w:r>
    </w:p>
    <w:tbl>
      <w:tblPr>
        <w:tblStyle w:val="5"/>
        <w:tblpPr w:leftFromText="180" w:rightFromText="180" w:vertAnchor="text" w:horzAnchor="page" w:tblpX="1537" w:tblpY="728"/>
        <w:tblOverlap w:val="never"/>
        <w:tblW w:w="5255" w:type="pct"/>
        <w:tblInd w:w="0" w:type="dxa"/>
        <w:tblLayout w:type="fixed"/>
        <w:tblCellMar>
          <w:top w:w="0" w:type="dxa"/>
          <w:left w:w="108" w:type="dxa"/>
          <w:bottom w:w="0" w:type="dxa"/>
          <w:right w:w="108" w:type="dxa"/>
        </w:tblCellMar>
      </w:tblPr>
      <w:tblGrid>
        <w:gridCol w:w="341"/>
        <w:gridCol w:w="1461"/>
        <w:gridCol w:w="479"/>
        <w:gridCol w:w="460"/>
        <w:gridCol w:w="580"/>
        <w:gridCol w:w="469"/>
        <w:gridCol w:w="504"/>
        <w:gridCol w:w="504"/>
        <w:gridCol w:w="503"/>
        <w:gridCol w:w="503"/>
        <w:gridCol w:w="503"/>
        <w:gridCol w:w="512"/>
        <w:gridCol w:w="503"/>
        <w:gridCol w:w="503"/>
        <w:gridCol w:w="521"/>
        <w:gridCol w:w="611"/>
      </w:tblGrid>
      <w:tr>
        <w:trPr>
          <w:trHeight w:val="318" w:hRule="atLeast"/>
        </w:trPr>
        <w:tc>
          <w:tcPr>
            <w:tcW w:w="19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课程类别</w:t>
            </w:r>
          </w:p>
        </w:tc>
        <w:tc>
          <w:tcPr>
            <w:tcW w:w="814" w:type="pct"/>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课程名称</w:t>
            </w:r>
          </w:p>
        </w:tc>
        <w:tc>
          <w:tcPr>
            <w:tcW w:w="267" w:type="pct"/>
            <w:tcBorders>
              <w:top w:val="single" w:color="000000" w:sz="8" w:space="0"/>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学</w:t>
            </w:r>
          </w:p>
        </w:tc>
        <w:tc>
          <w:tcPr>
            <w:tcW w:w="256" w:type="pct"/>
            <w:tcBorders>
              <w:top w:val="single" w:color="000000" w:sz="8" w:space="0"/>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w:t>
            </w:r>
          </w:p>
        </w:tc>
        <w:tc>
          <w:tcPr>
            <w:tcW w:w="323" w:type="pct"/>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考试</w:t>
            </w:r>
          </w:p>
        </w:tc>
        <w:tc>
          <w:tcPr>
            <w:tcW w:w="261" w:type="pct"/>
            <w:tcBorders>
              <w:top w:val="single" w:color="000000" w:sz="8" w:space="0"/>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实</w:t>
            </w:r>
          </w:p>
        </w:tc>
        <w:tc>
          <w:tcPr>
            <w:tcW w:w="2885" w:type="pct"/>
            <w:gridSpan w:val="10"/>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各学期周数、学分分配</w:t>
            </w:r>
          </w:p>
        </w:tc>
      </w:tr>
      <w:tr>
        <w:tblPrEx>
          <w:tblCellMar>
            <w:top w:w="0" w:type="dxa"/>
            <w:left w:w="108" w:type="dxa"/>
            <w:bottom w:w="0" w:type="dxa"/>
            <w:right w:w="108" w:type="dxa"/>
          </w:tblCellMar>
        </w:tblPrEx>
        <w:trPr>
          <w:trHeight w:val="303" w:hRule="atLeast"/>
        </w:trPr>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814"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267" w:type="pct"/>
            <w:tcBorders>
              <w:top w:val="nil"/>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分</w:t>
            </w:r>
          </w:p>
        </w:tc>
        <w:tc>
          <w:tcPr>
            <w:tcW w:w="256" w:type="pct"/>
            <w:tcBorders>
              <w:top w:val="nil"/>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学</w:t>
            </w:r>
          </w:p>
        </w:tc>
        <w:tc>
          <w:tcPr>
            <w:tcW w:w="323"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261" w:type="pct"/>
            <w:tcBorders>
              <w:top w:val="nil"/>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践</w:t>
            </w:r>
          </w:p>
        </w:tc>
        <w:tc>
          <w:tcPr>
            <w:tcW w:w="2885" w:type="pct"/>
            <w:gridSpan w:val="10"/>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r>
      <w:tr>
        <w:tblPrEx>
          <w:tblCellMar>
            <w:top w:w="0" w:type="dxa"/>
            <w:left w:w="108" w:type="dxa"/>
            <w:bottom w:w="0" w:type="dxa"/>
            <w:right w:w="108" w:type="dxa"/>
          </w:tblCellMar>
        </w:tblPrEx>
        <w:trPr>
          <w:trHeight w:val="303" w:hRule="atLeast"/>
        </w:trPr>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814"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267" w:type="pct"/>
            <w:tcBorders>
              <w:top w:val="nil"/>
              <w:left w:val="nil"/>
              <w:bottom w:val="nil"/>
              <w:right w:val="single" w:color="000000" w:sz="8" w:space="0"/>
            </w:tcBorders>
            <w:shd w:val="clear" w:color="auto" w:fill="auto"/>
            <w:noWrap/>
            <w:vAlign w:val="center"/>
          </w:tcPr>
          <w:p>
            <w:pPr>
              <w:rPr>
                <w:rFonts w:ascii="宋体" w:hAnsi="宋体" w:cs="宋体"/>
                <w:color w:val="000000"/>
                <w:sz w:val="22"/>
                <w:szCs w:val="22"/>
              </w:rPr>
            </w:pPr>
          </w:p>
        </w:tc>
        <w:tc>
          <w:tcPr>
            <w:tcW w:w="256" w:type="pct"/>
            <w:tcBorders>
              <w:top w:val="nil"/>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时</w:t>
            </w:r>
          </w:p>
        </w:tc>
        <w:tc>
          <w:tcPr>
            <w:tcW w:w="323"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261" w:type="pct"/>
            <w:tcBorders>
              <w:top w:val="nil"/>
              <w:left w:val="nil"/>
              <w:bottom w:val="nil"/>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学</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w:t>
            </w:r>
          </w:p>
        </w:tc>
        <w:tc>
          <w:tcPr>
            <w:tcW w:w="28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2</w:t>
            </w:r>
          </w:p>
        </w:tc>
        <w:tc>
          <w:tcPr>
            <w:tcW w:w="28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3</w:t>
            </w:r>
          </w:p>
        </w:tc>
        <w:tc>
          <w:tcPr>
            <w:tcW w:w="28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4</w:t>
            </w:r>
          </w:p>
        </w:tc>
        <w:tc>
          <w:tcPr>
            <w:tcW w:w="28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5</w:t>
            </w:r>
          </w:p>
        </w:tc>
        <w:tc>
          <w:tcPr>
            <w:tcW w:w="285"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6</w:t>
            </w:r>
          </w:p>
        </w:tc>
        <w:tc>
          <w:tcPr>
            <w:tcW w:w="28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7</w:t>
            </w:r>
          </w:p>
        </w:tc>
        <w:tc>
          <w:tcPr>
            <w:tcW w:w="28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8</w:t>
            </w:r>
          </w:p>
        </w:tc>
        <w:tc>
          <w:tcPr>
            <w:tcW w:w="29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9</w:t>
            </w:r>
          </w:p>
        </w:tc>
        <w:tc>
          <w:tcPr>
            <w:tcW w:w="339"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10</w:t>
            </w:r>
          </w:p>
        </w:tc>
      </w:tr>
      <w:tr>
        <w:tblPrEx>
          <w:tblCellMar>
            <w:top w:w="0" w:type="dxa"/>
            <w:left w:w="108" w:type="dxa"/>
            <w:bottom w:w="0" w:type="dxa"/>
            <w:right w:w="108" w:type="dxa"/>
          </w:tblCellMar>
        </w:tblPrEx>
        <w:trPr>
          <w:trHeight w:val="303" w:hRule="atLeast"/>
        </w:trPr>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814"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267"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56"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323"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color w:val="000000"/>
                <w:sz w:val="18"/>
                <w:szCs w:val="18"/>
              </w:rPr>
            </w:pP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时</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c>
          <w:tcPr>
            <w:tcW w:w="339"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16</w:t>
            </w:r>
          </w:p>
        </w:tc>
      </w:tr>
      <w:tr>
        <w:tblPrEx>
          <w:tblCellMar>
            <w:top w:w="0" w:type="dxa"/>
            <w:left w:w="108" w:type="dxa"/>
            <w:bottom w:w="0" w:type="dxa"/>
            <w:right w:w="108" w:type="dxa"/>
          </w:tblCellMar>
        </w:tblPrEx>
        <w:trPr>
          <w:trHeight w:val="318" w:hRule="atLeast"/>
        </w:trPr>
        <w:tc>
          <w:tcPr>
            <w:tcW w:w="190"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公共基础必修</w:t>
            </w: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中国特色社会主义</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心理健康与职业生涯</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哲学与人生</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职业道德与法治</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形势与政策3</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形势与政策4</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形势与政策5</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形势与政策6</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形势与政策7</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形势与政策8</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0.25</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Style w:val="13"/>
                <w:rFonts w:hint="default"/>
              </w:rPr>
              <w:t>互联网+创业实践</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思想道德与法治</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47"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毛泽东思想和中国特色社会主义理论体系概论</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语文1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语文2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语文3</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语文4</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语文5</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数学3</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数学4</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数学5</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数学6</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数学7</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英语3</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英语4</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英语5</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英语6</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英语7</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英语8</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历史1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历史1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物理1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物理2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军事理论与训练1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1周</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军事理论与训练2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信息技术基础1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信息技术基础2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信息技术基础3</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信息技术基础4</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体育3</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体育4</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体育5</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体育6</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体育7</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体育8</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应用文写作</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心理健康教育</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47"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职业生涯规划与职业指导</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大学生安全教育</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劳动教育</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1"/>
                <w:szCs w:val="11"/>
              </w:rPr>
            </w:pPr>
          </w:p>
        </w:tc>
        <w:tc>
          <w:tcPr>
            <w:tcW w:w="814"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color w:val="000000"/>
                <w:sz w:val="11"/>
                <w:szCs w:val="11"/>
              </w:rPr>
            </w:pPr>
            <w:r>
              <w:rPr>
                <w:rFonts w:hint="eastAsia" w:ascii="黑体" w:hAnsi="宋体" w:eastAsia="黑体" w:cs="黑体"/>
                <w:color w:val="000000"/>
                <w:kern w:val="0"/>
                <w:sz w:val="11"/>
                <w:szCs w:val="11"/>
              </w:rPr>
              <w:t>小计</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133</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2152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0</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658</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22.25</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25.25</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19.25</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15.25</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11.25</w:t>
            </w: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10.25</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13.25</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13.25</w:t>
            </w: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1</w:t>
            </w:r>
          </w:p>
        </w:tc>
        <w:tc>
          <w:tcPr>
            <w:tcW w:w="339"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1"/>
                <w:szCs w:val="11"/>
              </w:rPr>
            </w:pPr>
            <w:r>
              <w:rPr>
                <w:rFonts w:ascii="Calibri" w:hAnsi="Calibri" w:cs="Calibri"/>
                <w:color w:val="000000"/>
                <w:kern w:val="0"/>
                <w:sz w:val="11"/>
                <w:szCs w:val="11"/>
              </w:rPr>
              <w:t>0</w:t>
            </w:r>
          </w:p>
        </w:tc>
      </w:tr>
      <w:tr>
        <w:tblPrEx>
          <w:tblCellMar>
            <w:top w:w="0" w:type="dxa"/>
            <w:left w:w="108" w:type="dxa"/>
            <w:bottom w:w="0" w:type="dxa"/>
            <w:right w:w="108" w:type="dxa"/>
          </w:tblCellMar>
        </w:tblPrEx>
        <w:trPr>
          <w:trHeight w:val="318" w:hRule="atLeast"/>
        </w:trPr>
        <w:tc>
          <w:tcPr>
            <w:tcW w:w="190"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公共基础选修</w:t>
            </w: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rPr>
              <w:t>公共艺术选修</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6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FF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FF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FF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FF0000"/>
                <w:sz w:val="18"/>
                <w:szCs w:val="18"/>
              </w:rPr>
            </w:pPr>
          </w:p>
        </w:tc>
        <w:tc>
          <w:tcPr>
            <w:tcW w:w="847" w:type="pct"/>
            <w:gridSpan w:val="3"/>
            <w:tcBorders>
              <w:top w:val="nil"/>
              <w:left w:val="nil"/>
              <w:bottom w:val="single" w:color="000000" w:sz="8" w:space="0"/>
              <w:right w:val="nil"/>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2</w:t>
            </w:r>
          </w:p>
        </w:tc>
        <w:tc>
          <w:tcPr>
            <w:tcW w:w="281"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rPr>
              <w:t>公共通识选修</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6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Calibri" w:hAnsi="Calibri" w:cs="Calibri"/>
                <w:color w:val="000000"/>
                <w:sz w:val="18"/>
                <w:szCs w:val="18"/>
              </w:rPr>
            </w:pPr>
          </w:p>
        </w:tc>
        <w:tc>
          <w:tcPr>
            <w:tcW w:w="847" w:type="pct"/>
            <w:gridSpan w:val="3"/>
            <w:tcBorders>
              <w:top w:val="nil"/>
              <w:left w:val="nil"/>
              <w:bottom w:val="single" w:color="000000" w:sz="8" w:space="0"/>
              <w:right w:val="nil"/>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2</w:t>
            </w:r>
          </w:p>
        </w:tc>
        <w:tc>
          <w:tcPr>
            <w:tcW w:w="1193" w:type="pct"/>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Calibri" w:hAnsi="Calibri" w:cs="Calibri"/>
                <w:color w:val="000000"/>
                <w:sz w:val="18"/>
                <w:szCs w:val="18"/>
              </w:rPr>
            </w:pPr>
            <w:r>
              <w:rPr>
                <w:rFonts w:ascii="Calibri" w:hAnsi="Calibri" w:cs="Calibri"/>
                <w:color w:val="000000"/>
                <w:kern w:val="0"/>
                <w:sz w:val="18"/>
                <w:szCs w:val="18"/>
              </w:rPr>
              <w:t>2</w:t>
            </w: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小计</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96</w:t>
            </w:r>
          </w:p>
        </w:tc>
        <w:tc>
          <w:tcPr>
            <w:tcW w:w="323"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339"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318" w:hRule="atLeast"/>
        </w:trPr>
        <w:tc>
          <w:tcPr>
            <w:tcW w:w="190" w:type="pct"/>
            <w:vMerge w:val="restart"/>
            <w:tcBorders>
              <w:top w:val="nil"/>
              <w:left w:val="single" w:color="000000" w:sz="8" w:space="0"/>
              <w:bottom w:val="nil"/>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专业必修</w:t>
            </w: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计算机系统配置</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u w:val="single"/>
              </w:rPr>
            </w:pPr>
            <w:r>
              <w:rPr>
                <w:rFonts w:hint="eastAsia" w:ascii="宋体" w:hAnsi="宋体" w:cs="宋体"/>
                <w:color w:val="000000"/>
                <w:kern w:val="0"/>
                <w:sz w:val="18"/>
                <w:szCs w:val="18"/>
                <w:u w:val="single"/>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电工与电子技术应用</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局域网组建</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u w:val="single"/>
              </w:rPr>
            </w:pPr>
            <w:r>
              <w:rPr>
                <w:rFonts w:hint="eastAsia" w:ascii="宋体" w:hAnsi="宋体" w:cs="宋体"/>
                <w:color w:val="000000"/>
                <w:kern w:val="0"/>
                <w:sz w:val="18"/>
                <w:szCs w:val="18"/>
                <w:u w:val="single"/>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网络设备配置与管理1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u w:val="single"/>
              </w:rPr>
            </w:pPr>
            <w:r>
              <w:rPr>
                <w:rFonts w:hint="eastAsia" w:ascii="宋体" w:hAnsi="宋体" w:cs="宋体"/>
                <w:color w:val="000000"/>
                <w:kern w:val="0"/>
                <w:sz w:val="18"/>
                <w:szCs w:val="18"/>
                <w:u w:val="single"/>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网络设备配置与管理2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u w:val="single"/>
              </w:rPr>
            </w:pPr>
            <w:r>
              <w:rPr>
                <w:rFonts w:hint="eastAsia" w:ascii="宋体" w:hAnsi="宋体" w:cs="宋体"/>
                <w:color w:val="000000"/>
                <w:kern w:val="0"/>
                <w:sz w:val="18"/>
                <w:szCs w:val="18"/>
                <w:u w:val="single"/>
              </w:rPr>
              <w:t>6</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信息网络布线</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Windows网络操作系统</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noWrap/>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Windows服务器配置与管理</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Linux系统安装与配置</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noWrap/>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Linux服务器配置与管理</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u w:val="single"/>
              </w:rPr>
            </w:pPr>
            <w:r>
              <w:rPr>
                <w:rFonts w:hint="eastAsia" w:ascii="宋体" w:hAnsi="宋体" w:cs="宋体"/>
                <w:color w:val="000000"/>
                <w:kern w:val="0"/>
                <w:sz w:val="18"/>
                <w:szCs w:val="18"/>
                <w:u w:val="single"/>
              </w:rPr>
              <w:t>6</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高级语言程序设计</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虚拟化技术</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数据库应用</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信息安全基础</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128</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Python程序设计应用</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网络系统建设与运维</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图形图像</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网页制作</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96</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企业实践</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w:t>
            </w:r>
          </w:p>
        </w:tc>
        <w:tc>
          <w:tcPr>
            <w:tcW w:w="1691" w:type="pct"/>
            <w:gridSpan w:val="6"/>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8周，根据实际情况实施</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noWrap/>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企业实习（工学交替）</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8周</w:t>
            </w:r>
          </w:p>
        </w:tc>
        <w:tc>
          <w:tcPr>
            <w:tcW w:w="339" w:type="pc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毕业顶岗实习1</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8周</w:t>
            </w: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毕业顶岗实习2</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480</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480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16周</w:t>
            </w:r>
          </w:p>
        </w:tc>
      </w:tr>
      <w:tr>
        <w:tblPrEx>
          <w:tblCellMar>
            <w:top w:w="0" w:type="dxa"/>
            <w:left w:w="108" w:type="dxa"/>
            <w:bottom w:w="0" w:type="dxa"/>
            <w:right w:w="108" w:type="dxa"/>
          </w:tblCellMar>
        </w:tblPrEx>
        <w:trPr>
          <w:trHeight w:val="318" w:hRule="atLeast"/>
        </w:trPr>
        <w:tc>
          <w:tcPr>
            <w:tcW w:w="190" w:type="pct"/>
            <w:vMerge w:val="continue"/>
            <w:tcBorders>
              <w:top w:val="nil"/>
              <w:left w:val="single" w:color="000000" w:sz="8" w:space="0"/>
              <w:bottom w:val="nil"/>
              <w:right w:val="single" w:color="000000" w:sz="8"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1"/>
                <w:szCs w:val="11"/>
              </w:rPr>
            </w:pPr>
            <w:r>
              <w:rPr>
                <w:rFonts w:hint="eastAsia" w:ascii="宋体" w:hAnsi="宋体" w:cs="宋体"/>
                <w:color w:val="000000"/>
                <w:kern w:val="0"/>
                <w:sz w:val="11"/>
                <w:szCs w:val="11"/>
              </w:rPr>
              <w:t>小计</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120</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2480</w:t>
            </w:r>
          </w:p>
        </w:tc>
        <w:tc>
          <w:tcPr>
            <w:tcW w:w="323"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1"/>
                <w:szCs w:val="11"/>
              </w:rPr>
            </w:pP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2080</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8</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12</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14</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16</w:t>
            </w:r>
          </w:p>
        </w:tc>
        <w:tc>
          <w:tcPr>
            <w:tcW w:w="285"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16</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4</w:t>
            </w:r>
          </w:p>
        </w:tc>
        <w:tc>
          <w:tcPr>
            <w:tcW w:w="28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0</w:t>
            </w:r>
          </w:p>
        </w:tc>
        <w:tc>
          <w:tcPr>
            <w:tcW w:w="291"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16</w:t>
            </w:r>
          </w:p>
        </w:tc>
        <w:tc>
          <w:tcPr>
            <w:tcW w:w="339"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1"/>
                <w:szCs w:val="11"/>
              </w:rPr>
            </w:pPr>
            <w:r>
              <w:rPr>
                <w:rFonts w:hint="eastAsia" w:ascii="宋体" w:hAnsi="宋体" w:cs="宋体"/>
                <w:color w:val="000000"/>
                <w:kern w:val="0"/>
                <w:sz w:val="11"/>
                <w:szCs w:val="11"/>
              </w:rPr>
              <w:t>16</w:t>
            </w:r>
          </w:p>
        </w:tc>
      </w:tr>
      <w:tr>
        <w:tblPrEx>
          <w:tblCellMar>
            <w:top w:w="0" w:type="dxa"/>
            <w:left w:w="108" w:type="dxa"/>
            <w:bottom w:w="0" w:type="dxa"/>
            <w:right w:w="108" w:type="dxa"/>
          </w:tblCellMar>
        </w:tblPrEx>
        <w:trPr>
          <w:trHeight w:val="318" w:hRule="atLeast"/>
        </w:trPr>
        <w:tc>
          <w:tcPr>
            <w:tcW w:w="1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专业选修</w:t>
            </w: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创新创业教育</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2</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32</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0</w:t>
            </w: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5"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81" w:type="pct"/>
            <w:tcBorders>
              <w:top w:val="nil"/>
              <w:left w:val="nil"/>
              <w:bottom w:val="nil"/>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81" w:type="pct"/>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云计算平台搭建</w:t>
            </w:r>
          </w:p>
        </w:tc>
        <w:tc>
          <w:tcPr>
            <w:tcW w:w="267"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5" w:type="pct"/>
            <w:tcBorders>
              <w:top w:val="nil"/>
              <w:left w:val="nil"/>
              <w:bottom w:val="single" w:color="000000" w:sz="8" w:space="0"/>
              <w:right w:val="nil"/>
            </w:tcBorders>
            <w:shd w:val="clear" w:color="auto" w:fill="auto"/>
            <w:noWrap/>
            <w:vAlign w:val="center"/>
          </w:tcPr>
          <w:p>
            <w:pPr>
              <w:jc w:val="center"/>
              <w:rPr>
                <w:rFonts w:ascii="宋体" w:hAnsi="宋体" w:cs="宋体"/>
                <w:color w:val="000000"/>
                <w:sz w:val="20"/>
              </w:rPr>
            </w:pP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000000"/>
                <w:sz w:val="20"/>
              </w:rPr>
            </w:pPr>
            <w:r>
              <w:rPr>
                <w:color w:val="000000"/>
                <w:kern w:val="0"/>
                <w:sz w:val="20"/>
              </w:rPr>
              <w:t>4</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智能运维技术</w:t>
            </w:r>
          </w:p>
        </w:tc>
        <w:tc>
          <w:tcPr>
            <w:tcW w:w="267"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56"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323" w:type="pct"/>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261"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5" w:type="pct"/>
            <w:tcBorders>
              <w:top w:val="nil"/>
              <w:left w:val="nil"/>
              <w:bottom w:val="single" w:color="000000" w:sz="8" w:space="0"/>
              <w:right w:val="nil"/>
            </w:tcBorders>
            <w:shd w:val="clear" w:color="auto" w:fill="auto"/>
            <w:noWrap/>
            <w:vAlign w:val="center"/>
          </w:tcPr>
          <w:p>
            <w:pPr>
              <w:jc w:val="center"/>
              <w:rPr>
                <w:rFonts w:ascii="宋体" w:hAnsi="宋体" w:cs="宋体"/>
                <w:color w:val="000000"/>
                <w:sz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公有云技术</w:t>
            </w:r>
          </w:p>
        </w:tc>
        <w:tc>
          <w:tcPr>
            <w:tcW w:w="267"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vMerge w:val="restart"/>
            <w:tcBorders>
              <w:top w:val="nil"/>
              <w:left w:val="nil"/>
              <w:bottom w:val="single" w:color="000000" w:sz="8" w:space="0"/>
              <w:right w:val="single" w:color="000000" w:sz="8"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考查</w:t>
            </w:r>
          </w:p>
        </w:tc>
        <w:tc>
          <w:tcPr>
            <w:tcW w:w="261"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5" w:type="pct"/>
            <w:tcBorders>
              <w:top w:val="nil"/>
              <w:left w:val="nil"/>
              <w:bottom w:val="single" w:color="000000" w:sz="8" w:space="0"/>
              <w:right w:val="nil"/>
            </w:tcBorders>
            <w:shd w:val="clear" w:color="auto" w:fill="auto"/>
            <w:noWrap/>
            <w:vAlign w:val="center"/>
          </w:tcPr>
          <w:p>
            <w:pPr>
              <w:jc w:val="center"/>
              <w:rPr>
                <w:rFonts w:ascii="宋体" w:hAnsi="宋体" w:cs="宋体"/>
                <w:color w:val="000000"/>
                <w:sz w:val="20"/>
              </w:rPr>
            </w:pP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000000"/>
                <w:sz w:val="20"/>
              </w:rPr>
            </w:pPr>
            <w:r>
              <w:rPr>
                <w:color w:val="000000"/>
                <w:kern w:val="0"/>
                <w:sz w:val="20"/>
              </w:rPr>
              <w:t>4</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人工智能技术</w:t>
            </w:r>
          </w:p>
        </w:tc>
        <w:tc>
          <w:tcPr>
            <w:tcW w:w="267"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56"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323" w:type="pct"/>
            <w:vMerge w:val="continue"/>
            <w:tcBorders>
              <w:top w:val="nil"/>
              <w:left w:val="nil"/>
              <w:bottom w:val="single" w:color="000000" w:sz="8" w:space="0"/>
              <w:right w:val="single" w:color="000000" w:sz="8" w:space="0"/>
            </w:tcBorders>
            <w:shd w:val="clear" w:color="auto" w:fill="auto"/>
          </w:tcPr>
          <w:p>
            <w:pPr>
              <w:jc w:val="center"/>
              <w:rPr>
                <w:rFonts w:ascii="宋体" w:hAnsi="宋体" w:cs="宋体"/>
                <w:color w:val="000000"/>
                <w:sz w:val="18"/>
                <w:szCs w:val="18"/>
              </w:rPr>
            </w:pPr>
          </w:p>
        </w:tc>
        <w:tc>
          <w:tcPr>
            <w:tcW w:w="261"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5" w:type="pct"/>
            <w:tcBorders>
              <w:top w:val="nil"/>
              <w:left w:val="nil"/>
              <w:bottom w:val="single" w:color="000000" w:sz="8" w:space="0"/>
              <w:right w:val="nil"/>
            </w:tcBorders>
            <w:shd w:val="clear" w:color="auto" w:fill="auto"/>
            <w:noWrap/>
            <w:vAlign w:val="center"/>
          </w:tcPr>
          <w:p>
            <w:pPr>
              <w:jc w:val="center"/>
              <w:rPr>
                <w:rFonts w:ascii="宋体" w:hAnsi="宋体" w:cs="宋体"/>
                <w:color w:val="000000"/>
                <w:sz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容器云技术</w:t>
            </w:r>
          </w:p>
        </w:tc>
        <w:tc>
          <w:tcPr>
            <w:tcW w:w="267"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vMerge w:val="restart"/>
            <w:tcBorders>
              <w:top w:val="nil"/>
              <w:left w:val="nil"/>
              <w:bottom w:val="single" w:color="000000" w:sz="8" w:space="0"/>
              <w:right w:val="single" w:color="000000" w:sz="8"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考查</w:t>
            </w:r>
          </w:p>
        </w:tc>
        <w:tc>
          <w:tcPr>
            <w:tcW w:w="261"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restart"/>
            <w:tcBorders>
              <w:top w:val="nil"/>
              <w:left w:val="nil"/>
              <w:bottom w:val="nil"/>
              <w:right w:val="single" w:color="000000" w:sz="8" w:space="0"/>
            </w:tcBorders>
            <w:shd w:val="clear" w:color="auto" w:fill="auto"/>
            <w:noWrap/>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rPr>
              <w:t>4</w:t>
            </w: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物联网云平台与边缘技术</w:t>
            </w:r>
          </w:p>
        </w:tc>
        <w:tc>
          <w:tcPr>
            <w:tcW w:w="267"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56"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323" w:type="pct"/>
            <w:vMerge w:val="continue"/>
            <w:tcBorders>
              <w:top w:val="nil"/>
              <w:left w:val="nil"/>
              <w:bottom w:val="single" w:color="000000" w:sz="8" w:space="0"/>
              <w:right w:val="single" w:color="000000" w:sz="8" w:space="0"/>
            </w:tcBorders>
            <w:shd w:val="clear" w:color="auto" w:fill="auto"/>
          </w:tcPr>
          <w:p>
            <w:pPr>
              <w:jc w:val="center"/>
              <w:rPr>
                <w:rFonts w:ascii="宋体" w:hAnsi="宋体" w:cs="宋体"/>
                <w:color w:val="000000"/>
                <w:sz w:val="18"/>
                <w:szCs w:val="18"/>
              </w:rPr>
            </w:pPr>
          </w:p>
        </w:tc>
        <w:tc>
          <w:tcPr>
            <w:tcW w:w="261"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continue"/>
            <w:tcBorders>
              <w:top w:val="nil"/>
              <w:left w:val="nil"/>
              <w:bottom w:val="nil"/>
              <w:right w:val="single" w:color="000000" w:sz="8" w:space="0"/>
            </w:tcBorders>
            <w:shd w:val="clear" w:color="auto" w:fill="auto"/>
            <w:noWrap/>
            <w:vAlign w:val="center"/>
          </w:tcPr>
          <w:p>
            <w:pPr>
              <w:jc w:val="center"/>
              <w:rPr>
                <w:rFonts w:ascii="宋体" w:hAnsi="宋体" w:cs="宋体"/>
                <w:color w:val="000000"/>
                <w:sz w:val="20"/>
              </w:rPr>
            </w:pPr>
          </w:p>
        </w:tc>
        <w:tc>
          <w:tcPr>
            <w:tcW w:w="291"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c>
          <w:tcPr>
            <w:tcW w:w="339" w:type="pc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62"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云存储技术与应用</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考试</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48</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000000"/>
                <w:sz w:val="18"/>
                <w:szCs w:val="18"/>
              </w:rPr>
            </w:pPr>
            <w:r>
              <w:rPr>
                <w:color w:val="000000"/>
                <w:kern w:val="0"/>
                <w:sz w:val="18"/>
                <w:szCs w:val="18"/>
              </w:rPr>
              <w:t>4</w:t>
            </w:r>
          </w:p>
        </w:tc>
        <w:tc>
          <w:tcPr>
            <w:tcW w:w="29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339" w:type="pct"/>
            <w:tcBorders>
              <w:top w:val="single" w:color="000000" w:sz="8" w:space="0"/>
              <w:left w:val="nil"/>
              <w:bottom w:val="single" w:color="000000" w:sz="8" w:space="0"/>
              <w:right w:val="single" w:color="000000" w:sz="8" w:space="0"/>
            </w:tcBorders>
            <w:shd w:val="clear" w:color="auto" w:fill="auto"/>
            <w:noWrap/>
            <w:vAlign w:val="center"/>
          </w:tcPr>
          <w:p>
            <w:pPr>
              <w:rPr>
                <w:rFonts w:ascii="宋体" w:hAnsi="宋体" w:cs="宋体"/>
                <w:color w:val="000000"/>
                <w:sz w:val="20"/>
              </w:rPr>
            </w:pPr>
          </w:p>
        </w:tc>
      </w:tr>
      <w:tr>
        <w:tblPrEx>
          <w:tblCellMar>
            <w:top w:w="0" w:type="dxa"/>
            <w:left w:w="108" w:type="dxa"/>
            <w:bottom w:w="0" w:type="dxa"/>
            <w:right w:w="108" w:type="dxa"/>
          </w:tblCellMar>
        </w:tblPrEx>
        <w:trPr>
          <w:trHeight w:val="486"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8"/>
                <w:szCs w:val="18"/>
              </w:rPr>
            </w:pPr>
            <w:r>
              <w:rPr>
                <w:rStyle w:val="14"/>
              </w:rPr>
              <w:t>WEB</w:t>
            </w:r>
            <w:r>
              <w:rPr>
                <w:rStyle w:val="13"/>
                <w:rFonts w:hint="default"/>
              </w:rPr>
              <w:t>应用开发</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48</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18"/>
                <w:szCs w:val="18"/>
              </w:rPr>
            </w:pPr>
          </w:p>
        </w:tc>
        <w:tc>
          <w:tcPr>
            <w:tcW w:w="29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339"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0"/>
              </w:rPr>
            </w:pPr>
          </w:p>
        </w:tc>
      </w:tr>
      <w:tr>
        <w:tblPrEx>
          <w:tblCellMar>
            <w:top w:w="0" w:type="dxa"/>
            <w:left w:w="108" w:type="dxa"/>
            <w:bottom w:w="0" w:type="dxa"/>
            <w:right w:w="108" w:type="dxa"/>
          </w:tblCellMar>
        </w:tblPrEx>
        <w:trPr>
          <w:trHeight w:val="486"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color w:val="000000"/>
                <w:sz w:val="18"/>
                <w:szCs w:val="18"/>
              </w:rPr>
            </w:pPr>
            <w:r>
              <w:rPr>
                <w:rStyle w:val="14"/>
              </w:rPr>
              <w:t>Android</w:t>
            </w:r>
            <w:r>
              <w:rPr>
                <w:rStyle w:val="13"/>
                <w:rFonts w:hint="default"/>
              </w:rPr>
              <w:t>移动端开发</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48</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000000"/>
                <w:sz w:val="18"/>
                <w:szCs w:val="18"/>
              </w:rPr>
            </w:pPr>
            <w:r>
              <w:rPr>
                <w:color w:val="000000"/>
                <w:kern w:val="0"/>
                <w:sz w:val="18"/>
                <w:szCs w:val="18"/>
              </w:rPr>
              <w:t>4</w:t>
            </w:r>
          </w:p>
        </w:tc>
        <w:tc>
          <w:tcPr>
            <w:tcW w:w="29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339"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303"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Style w:val="13"/>
                <w:rFonts w:hint="default"/>
              </w:rPr>
              <w:t>软件定义网络</w:t>
            </w:r>
            <w:r>
              <w:rPr>
                <w:rStyle w:val="15"/>
              </w:rPr>
              <w:t>SDN</w:t>
            </w:r>
            <w:r>
              <w:rPr>
                <w:rStyle w:val="13"/>
                <w:rFonts w:hint="default"/>
              </w:rPr>
              <w:t>技术</w:t>
            </w:r>
          </w:p>
        </w:tc>
        <w:tc>
          <w:tcPr>
            <w:tcW w:w="267"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w:t>
            </w:r>
          </w:p>
        </w:tc>
        <w:tc>
          <w:tcPr>
            <w:tcW w:w="256"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64</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48</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18"/>
                <w:szCs w:val="18"/>
              </w:rPr>
            </w:pPr>
          </w:p>
        </w:tc>
        <w:tc>
          <w:tcPr>
            <w:tcW w:w="29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2"/>
                <w:szCs w:val="22"/>
              </w:rPr>
            </w:pPr>
          </w:p>
        </w:tc>
        <w:tc>
          <w:tcPr>
            <w:tcW w:w="339"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0"/>
              </w:rPr>
            </w:pPr>
          </w:p>
        </w:tc>
      </w:tr>
      <w:tr>
        <w:tblPrEx>
          <w:tblCellMar>
            <w:top w:w="0" w:type="dxa"/>
            <w:left w:w="108" w:type="dxa"/>
            <w:bottom w:w="0" w:type="dxa"/>
            <w:right w:w="108" w:type="dxa"/>
          </w:tblCellMar>
        </w:tblPrEx>
        <w:trPr>
          <w:trHeight w:val="303"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云计算运维综合实训</w:t>
            </w:r>
          </w:p>
        </w:tc>
        <w:tc>
          <w:tcPr>
            <w:tcW w:w="267"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2</w:t>
            </w:r>
          </w:p>
        </w:tc>
        <w:tc>
          <w:tcPr>
            <w:tcW w:w="256"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60</w:t>
            </w: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color w:val="000000"/>
                <w:sz w:val="18"/>
                <w:szCs w:val="18"/>
              </w:rPr>
            </w:pPr>
            <w:r>
              <w:rPr>
                <w:color w:val="000000"/>
                <w:kern w:val="0"/>
                <w:sz w:val="18"/>
                <w:szCs w:val="18"/>
              </w:rPr>
              <w:t>60</w:t>
            </w: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restart"/>
            <w:tcBorders>
              <w:top w:val="nil"/>
              <w:left w:val="nil"/>
              <w:bottom w:val="single" w:color="000000" w:sz="8" w:space="0"/>
              <w:right w:val="single" w:color="000000" w:sz="8" w:space="0"/>
            </w:tcBorders>
            <w:shd w:val="clear" w:color="auto" w:fill="auto"/>
            <w:noWrap/>
            <w:vAlign w:val="center"/>
          </w:tcPr>
          <w:p>
            <w:pPr>
              <w:widowControl/>
              <w:jc w:val="center"/>
              <w:textAlignment w:val="center"/>
              <w:rPr>
                <w:color w:val="000000"/>
                <w:sz w:val="18"/>
                <w:szCs w:val="18"/>
              </w:rPr>
            </w:pPr>
            <w:r>
              <w:rPr>
                <w:rStyle w:val="14"/>
              </w:rPr>
              <w:t>2</w:t>
            </w:r>
            <w:r>
              <w:rPr>
                <w:rStyle w:val="13"/>
                <w:rFonts w:hint="default"/>
              </w:rPr>
              <w:t>周</w:t>
            </w:r>
          </w:p>
        </w:tc>
        <w:tc>
          <w:tcPr>
            <w:tcW w:w="29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339"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r>
      <w:tr>
        <w:tblPrEx>
          <w:tblCellMar>
            <w:top w:w="0" w:type="dxa"/>
            <w:left w:w="108" w:type="dxa"/>
            <w:bottom w:w="0" w:type="dxa"/>
            <w:right w:w="108" w:type="dxa"/>
          </w:tblCellMar>
        </w:tblPrEx>
        <w:trPr>
          <w:trHeight w:val="303"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云计算开发综合实训</w:t>
            </w:r>
          </w:p>
        </w:tc>
        <w:tc>
          <w:tcPr>
            <w:tcW w:w="267"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56"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323" w:type="pc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考查</w:t>
            </w:r>
          </w:p>
        </w:tc>
        <w:tc>
          <w:tcPr>
            <w:tcW w:w="261" w:type="pct"/>
            <w:vMerge w:val="continue"/>
            <w:tcBorders>
              <w:top w:val="nil"/>
              <w:left w:val="nil"/>
              <w:bottom w:val="single" w:color="000000" w:sz="8" w:space="0"/>
              <w:right w:val="single" w:color="000000" w:sz="8" w:space="0"/>
            </w:tcBorders>
            <w:shd w:val="clear" w:color="auto" w:fill="auto"/>
            <w:vAlign w:val="center"/>
          </w:tcPr>
          <w:p>
            <w:pPr>
              <w:jc w:val="center"/>
              <w:rPr>
                <w:color w:val="000000"/>
                <w:sz w:val="18"/>
                <w:szCs w:val="18"/>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sz w:val="22"/>
                <w:szCs w:val="22"/>
              </w:rPr>
            </w:pPr>
          </w:p>
        </w:tc>
        <w:tc>
          <w:tcPr>
            <w:tcW w:w="285" w:type="pct"/>
            <w:tcBorders>
              <w:top w:val="nil"/>
              <w:left w:val="nil"/>
              <w:bottom w:val="single" w:color="000000" w:sz="8" w:space="0"/>
              <w:right w:val="nil"/>
            </w:tcBorders>
            <w:shd w:val="clear" w:color="auto" w:fill="auto"/>
            <w:noWrap/>
            <w:vAlign w:val="center"/>
          </w:tcPr>
          <w:p>
            <w:pPr>
              <w:rPr>
                <w:rFonts w:ascii="宋体" w:hAnsi="宋体" w:cs="宋体"/>
                <w:color w:val="000000"/>
                <w:sz w:val="22"/>
                <w:szCs w:val="22"/>
              </w:rPr>
            </w:pPr>
          </w:p>
        </w:tc>
        <w:tc>
          <w:tcPr>
            <w:tcW w:w="28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281" w:type="pct"/>
            <w:vMerge w:val="continue"/>
            <w:tcBorders>
              <w:top w:val="nil"/>
              <w:left w:val="nil"/>
              <w:bottom w:val="single" w:color="000000" w:sz="8" w:space="0"/>
              <w:right w:val="single" w:color="000000" w:sz="8" w:space="0"/>
            </w:tcBorders>
            <w:shd w:val="clear" w:color="auto" w:fill="auto"/>
            <w:noWrap/>
            <w:vAlign w:val="center"/>
          </w:tcPr>
          <w:p>
            <w:pPr>
              <w:jc w:val="center"/>
              <w:rPr>
                <w:color w:val="000000"/>
                <w:sz w:val="18"/>
                <w:szCs w:val="18"/>
              </w:rPr>
            </w:pPr>
          </w:p>
        </w:tc>
        <w:tc>
          <w:tcPr>
            <w:tcW w:w="291"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c>
          <w:tcPr>
            <w:tcW w:w="339" w:type="pct"/>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318"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rPr>
            </w:pPr>
          </w:p>
        </w:tc>
        <w:tc>
          <w:tcPr>
            <w:tcW w:w="814" w:type="pct"/>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rPr>
              <w:t>小计</w:t>
            </w:r>
          </w:p>
        </w:tc>
        <w:tc>
          <w:tcPr>
            <w:tcW w:w="267"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32</w:t>
            </w:r>
          </w:p>
        </w:tc>
        <w:tc>
          <w:tcPr>
            <w:tcW w:w="256"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540</w:t>
            </w:r>
          </w:p>
        </w:tc>
        <w:tc>
          <w:tcPr>
            <w:tcW w:w="323" w:type="pct"/>
            <w:tcBorders>
              <w:top w:val="nil"/>
              <w:left w:val="nil"/>
              <w:bottom w:val="single" w:color="000000" w:sz="8" w:space="0"/>
              <w:right w:val="single" w:color="000000" w:sz="8" w:space="0"/>
            </w:tcBorders>
            <w:shd w:val="clear" w:color="auto" w:fill="auto"/>
            <w:vAlign w:val="center"/>
          </w:tcPr>
          <w:p>
            <w:pPr>
              <w:rPr>
                <w:color w:val="000000"/>
                <w:sz w:val="11"/>
                <w:szCs w:val="11"/>
              </w:rPr>
            </w:pPr>
          </w:p>
        </w:tc>
        <w:tc>
          <w:tcPr>
            <w:tcW w:w="26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444</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285"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10</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14</w:t>
            </w:r>
          </w:p>
        </w:tc>
        <w:tc>
          <w:tcPr>
            <w:tcW w:w="29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c>
          <w:tcPr>
            <w:tcW w:w="339"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0</w:t>
            </w:r>
          </w:p>
        </w:tc>
      </w:tr>
      <w:tr>
        <w:tblPrEx>
          <w:tblCellMar>
            <w:top w:w="0" w:type="dxa"/>
            <w:left w:w="108" w:type="dxa"/>
            <w:bottom w:w="0" w:type="dxa"/>
            <w:right w:w="108" w:type="dxa"/>
          </w:tblCellMar>
        </w:tblPrEx>
        <w:trPr>
          <w:trHeight w:val="318" w:hRule="atLeast"/>
        </w:trPr>
        <w:tc>
          <w:tcPr>
            <w:tcW w:w="1004" w:type="pct"/>
            <w:gridSpan w:val="2"/>
            <w:tcBorders>
              <w:top w:val="nil"/>
              <w:left w:val="single" w:color="000000" w:sz="8" w:space="0"/>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rPr>
              <w:t>合计</w:t>
            </w:r>
          </w:p>
        </w:tc>
        <w:tc>
          <w:tcPr>
            <w:tcW w:w="267"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291</w:t>
            </w:r>
          </w:p>
        </w:tc>
        <w:tc>
          <w:tcPr>
            <w:tcW w:w="256"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5268</w:t>
            </w:r>
          </w:p>
        </w:tc>
        <w:tc>
          <w:tcPr>
            <w:tcW w:w="323" w:type="pct"/>
            <w:tcBorders>
              <w:top w:val="nil"/>
              <w:left w:val="nil"/>
              <w:bottom w:val="single" w:color="000000" w:sz="8" w:space="0"/>
              <w:right w:val="single" w:color="000000" w:sz="8" w:space="0"/>
            </w:tcBorders>
            <w:shd w:val="clear" w:color="auto" w:fill="auto"/>
            <w:vAlign w:val="center"/>
          </w:tcPr>
          <w:p>
            <w:pPr>
              <w:rPr>
                <w:color w:val="000000"/>
                <w:sz w:val="11"/>
                <w:szCs w:val="11"/>
              </w:rPr>
            </w:pPr>
          </w:p>
        </w:tc>
        <w:tc>
          <w:tcPr>
            <w:tcW w:w="26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3182</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30.25</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31.25</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31.25</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29.25</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29.25</w:t>
            </w:r>
          </w:p>
        </w:tc>
        <w:tc>
          <w:tcPr>
            <w:tcW w:w="285"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28.25</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27.25</w:t>
            </w:r>
          </w:p>
        </w:tc>
        <w:tc>
          <w:tcPr>
            <w:tcW w:w="28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color w:val="000000"/>
                <w:kern w:val="0"/>
                <w:sz w:val="11"/>
                <w:szCs w:val="11"/>
              </w:rPr>
              <w:t>27.25</w:t>
            </w:r>
          </w:p>
        </w:tc>
        <w:tc>
          <w:tcPr>
            <w:tcW w:w="291"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rFonts w:hint="eastAsia"/>
                <w:color w:val="000000"/>
                <w:kern w:val="0"/>
                <w:sz w:val="11"/>
                <w:szCs w:val="11"/>
              </w:rPr>
              <w:t>17</w:t>
            </w:r>
          </w:p>
        </w:tc>
        <w:tc>
          <w:tcPr>
            <w:tcW w:w="339" w:type="pct"/>
            <w:tcBorders>
              <w:top w:val="nil"/>
              <w:left w:val="nil"/>
              <w:bottom w:val="single" w:color="000000" w:sz="8" w:space="0"/>
              <w:right w:val="single" w:color="000000" w:sz="8" w:space="0"/>
            </w:tcBorders>
            <w:shd w:val="clear" w:color="auto" w:fill="auto"/>
            <w:vAlign w:val="center"/>
          </w:tcPr>
          <w:p>
            <w:pPr>
              <w:widowControl/>
              <w:textAlignment w:val="center"/>
              <w:rPr>
                <w:color w:val="000000"/>
                <w:sz w:val="11"/>
                <w:szCs w:val="11"/>
              </w:rPr>
            </w:pPr>
            <w:r>
              <w:rPr>
                <w:rFonts w:hint="eastAsia"/>
                <w:color w:val="000000"/>
                <w:kern w:val="0"/>
                <w:sz w:val="11"/>
                <w:szCs w:val="11"/>
              </w:rPr>
              <w:t>16</w:t>
            </w:r>
          </w:p>
        </w:tc>
      </w:tr>
    </w:tbl>
    <w:p>
      <w:pPr>
        <w:spacing w:line="360" w:lineRule="auto"/>
        <w:jc w:val="center"/>
        <w:rPr>
          <w:rFonts w:eastAsia="仿宋"/>
          <w:sz w:val="18"/>
          <w:szCs w:val="18"/>
        </w:rPr>
      </w:pPr>
    </w:p>
    <w:p>
      <w:pPr>
        <w:overflowPunct w:val="0"/>
        <w:adjustRightInd w:val="0"/>
        <w:ind w:firstLine="480" w:firstLineChars="200"/>
        <w:outlineLvl w:val="0"/>
        <w:rPr>
          <w:rFonts w:ascii="楷体" w:hAnsi="楷体" w:eastAsia="楷体" w:cs="楷体"/>
          <w:b/>
          <w:bCs/>
          <w:sz w:val="24"/>
          <w:szCs w:val="24"/>
        </w:rPr>
      </w:pPr>
      <w:r>
        <w:rPr>
          <w:rFonts w:hint="eastAsia" w:eastAsia="黑体"/>
          <w:sz w:val="24"/>
          <w:szCs w:val="24"/>
        </w:rPr>
        <w:t>八、实施保障</w:t>
      </w:r>
    </w:p>
    <w:p>
      <w:pPr>
        <w:overflowPunct w:val="0"/>
        <w:adjustRightInd w:val="0"/>
        <w:spacing w:line="360" w:lineRule="auto"/>
        <w:ind w:firstLine="422" w:firstLineChars="200"/>
        <w:outlineLvl w:val="0"/>
        <w:rPr>
          <w:rFonts w:ascii="宋体" w:hAnsi="宋体" w:cs="楷体"/>
          <w:b/>
          <w:szCs w:val="21"/>
        </w:rPr>
      </w:pPr>
      <w:r>
        <w:rPr>
          <w:rFonts w:hint="eastAsia" w:ascii="宋体" w:hAnsi="宋体" w:cs="楷体"/>
          <w:b/>
          <w:szCs w:val="21"/>
        </w:rPr>
        <w:t>（一）师资队伍</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对专兼职教师的数量、结构、素质等提出有关要求。</w:t>
      </w:r>
    </w:p>
    <w:p>
      <w:pPr>
        <w:numPr>
          <w:ilvl w:val="0"/>
          <w:numId w:val="4"/>
        </w:numPr>
        <w:tabs>
          <w:tab w:val="left" w:pos="751"/>
        </w:tabs>
        <w:spacing w:line="360" w:lineRule="auto"/>
        <w:ind w:firstLine="440"/>
        <w:rPr>
          <w:rFonts w:ascii="宋体" w:hAnsi="宋体" w:cs="楷体"/>
          <w:szCs w:val="21"/>
        </w:rPr>
      </w:pPr>
      <w:r>
        <w:rPr>
          <w:rFonts w:hint="eastAsia" w:ascii="宋体" w:hAnsi="宋体" w:cs="楷体"/>
          <w:color w:val="000000"/>
          <w:szCs w:val="21"/>
        </w:rPr>
        <w:t>队伍结构</w:t>
      </w:r>
    </w:p>
    <w:p>
      <w:pPr>
        <w:spacing w:line="360" w:lineRule="auto"/>
        <w:ind w:firstLine="440"/>
        <w:rPr>
          <w:rFonts w:ascii="宋体" w:hAnsi="宋体" w:cs="楷体"/>
          <w:szCs w:val="21"/>
        </w:rPr>
      </w:pPr>
      <w:r>
        <w:rPr>
          <w:rFonts w:hint="eastAsia" w:ascii="宋体" w:hAnsi="宋体" w:cs="楷体"/>
          <w:color w:val="000000"/>
          <w:szCs w:val="21"/>
        </w:rPr>
        <w:t>学生数与本专业专任教师数比例约为</w:t>
      </w:r>
      <w:r>
        <w:rPr>
          <w:rFonts w:hint="eastAsia" w:ascii="宋体" w:hAnsi="宋体" w:cs="楷体"/>
          <w:bCs/>
          <w:color w:val="000000"/>
          <w:szCs w:val="21"/>
        </w:rPr>
        <w:t>20 : 1</w:t>
      </w:r>
      <w:r>
        <w:rPr>
          <w:rFonts w:hint="eastAsia" w:ascii="宋体" w:hAnsi="宋体" w:cs="楷体"/>
          <w:color w:val="000000"/>
          <w:szCs w:val="21"/>
        </w:rPr>
        <w:t>，双师素质教师占专业教师比例9</w:t>
      </w:r>
      <w:r>
        <w:rPr>
          <w:rFonts w:hint="eastAsia" w:ascii="宋体" w:hAnsi="宋体" w:cs="楷体"/>
          <w:bCs/>
          <w:color w:val="000000"/>
          <w:szCs w:val="21"/>
        </w:rPr>
        <w:t>0</w:t>
      </w:r>
      <w:r>
        <w:rPr>
          <w:rFonts w:hint="eastAsia" w:ascii="宋体" w:hAnsi="宋体" w:cs="楷体"/>
          <w:color w:val="000000"/>
          <w:szCs w:val="21"/>
        </w:rPr>
        <w:t>%，专任教师队伍要职称、年龄梯队结构合理。</w:t>
      </w:r>
    </w:p>
    <w:p>
      <w:pPr>
        <w:numPr>
          <w:ilvl w:val="0"/>
          <w:numId w:val="4"/>
        </w:numPr>
        <w:tabs>
          <w:tab w:val="left" w:pos="770"/>
        </w:tabs>
        <w:spacing w:line="360" w:lineRule="auto"/>
        <w:ind w:firstLine="440"/>
        <w:rPr>
          <w:rFonts w:ascii="宋体" w:hAnsi="宋体" w:cs="楷体"/>
          <w:szCs w:val="21"/>
        </w:rPr>
      </w:pPr>
      <w:bookmarkStart w:id="8" w:name="bookmark75"/>
      <w:bookmarkEnd w:id="8"/>
      <w:r>
        <w:rPr>
          <w:rFonts w:hint="eastAsia" w:ascii="宋体" w:hAnsi="宋体" w:cs="楷体"/>
          <w:color w:val="000000"/>
          <w:szCs w:val="21"/>
        </w:rPr>
        <w:t>专任教师</w:t>
      </w:r>
    </w:p>
    <w:p>
      <w:pPr>
        <w:spacing w:line="360" w:lineRule="auto"/>
        <w:ind w:firstLine="440"/>
        <w:rPr>
          <w:rFonts w:ascii="宋体" w:hAnsi="宋体" w:cs="楷体"/>
          <w:szCs w:val="21"/>
        </w:rPr>
      </w:pPr>
      <w:r>
        <w:rPr>
          <w:rFonts w:hint="eastAsia" w:ascii="宋体" w:hAnsi="宋体" w:cs="楷体"/>
          <w:color w:val="000000"/>
          <w:szCs w:val="21"/>
        </w:rPr>
        <w:t>专任教师均具有教师资格证书；有理想信念、有道德情操、有扎实学识、有仁爱之心； 具有计算机网络技术等相关专业本科及以上学历；具有扎实的本专业相关理论功底和实践能力；具有较强信息化教学能力，能够开展课程教学改革和科学研究；有每</w:t>
      </w:r>
      <w:r>
        <w:rPr>
          <w:rFonts w:hint="eastAsia" w:ascii="宋体" w:hAnsi="宋体" w:cs="楷体"/>
          <w:bCs/>
          <w:color w:val="000000"/>
          <w:szCs w:val="21"/>
        </w:rPr>
        <w:t>5</w:t>
      </w:r>
      <w:r>
        <w:rPr>
          <w:rFonts w:hint="eastAsia" w:ascii="宋体" w:hAnsi="宋体" w:cs="楷体"/>
          <w:color w:val="000000"/>
          <w:szCs w:val="21"/>
        </w:rPr>
        <w:t>年累计不少于</w:t>
      </w:r>
      <w:r>
        <w:rPr>
          <w:rFonts w:hint="eastAsia" w:ascii="宋体" w:hAnsi="宋体" w:cs="楷体"/>
          <w:bCs/>
          <w:color w:val="000000"/>
          <w:szCs w:val="21"/>
        </w:rPr>
        <w:t xml:space="preserve">6 </w:t>
      </w:r>
      <w:r>
        <w:rPr>
          <w:rFonts w:hint="eastAsia" w:ascii="宋体" w:hAnsi="宋体" w:cs="楷体"/>
          <w:color w:val="000000"/>
          <w:szCs w:val="21"/>
        </w:rPr>
        <w:t>个月的企业实践经历。</w:t>
      </w:r>
    </w:p>
    <w:p>
      <w:pPr>
        <w:numPr>
          <w:ilvl w:val="0"/>
          <w:numId w:val="4"/>
        </w:numPr>
        <w:tabs>
          <w:tab w:val="left" w:pos="770"/>
        </w:tabs>
        <w:spacing w:line="360" w:lineRule="auto"/>
        <w:ind w:firstLine="440"/>
        <w:rPr>
          <w:rFonts w:ascii="宋体" w:hAnsi="宋体" w:cs="楷体"/>
          <w:szCs w:val="21"/>
        </w:rPr>
      </w:pPr>
      <w:bookmarkStart w:id="9" w:name="bookmark76"/>
      <w:bookmarkEnd w:id="9"/>
      <w:r>
        <w:rPr>
          <w:rFonts w:hint="eastAsia" w:ascii="宋体" w:hAnsi="宋体" w:cs="楷体"/>
          <w:color w:val="000000"/>
          <w:szCs w:val="21"/>
        </w:rPr>
        <w:t>专业带头人</w:t>
      </w:r>
    </w:p>
    <w:p>
      <w:pPr>
        <w:spacing w:line="360" w:lineRule="auto"/>
        <w:ind w:firstLine="440"/>
        <w:rPr>
          <w:rFonts w:ascii="宋体" w:hAnsi="宋体" w:cs="楷体"/>
          <w:szCs w:val="21"/>
        </w:rPr>
      </w:pPr>
      <w:r>
        <w:rPr>
          <w:rFonts w:hint="eastAsia" w:ascii="宋体" w:hAnsi="宋体" w:cs="楷体"/>
          <w:color w:val="000000"/>
          <w:szCs w:val="21"/>
        </w:rPr>
        <w:t>专业带头人具有副高职称，能够较好地把握国内外网络技术行业、专业发展，能广泛联系行业企业，了解行业企业对本专业人才的需求实际，教学设计、专业研究能力强，组织开展教科研工作能力强，在本区域或本领域具有一定的专业影响力。</w:t>
      </w:r>
    </w:p>
    <w:p>
      <w:pPr>
        <w:numPr>
          <w:ilvl w:val="0"/>
          <w:numId w:val="4"/>
        </w:numPr>
        <w:tabs>
          <w:tab w:val="left" w:pos="770"/>
        </w:tabs>
        <w:spacing w:line="360" w:lineRule="auto"/>
        <w:ind w:firstLine="440"/>
        <w:rPr>
          <w:rFonts w:ascii="宋体" w:hAnsi="宋体" w:cs="楷体"/>
          <w:szCs w:val="21"/>
        </w:rPr>
      </w:pPr>
      <w:bookmarkStart w:id="10" w:name="bookmark77"/>
      <w:bookmarkEnd w:id="10"/>
      <w:r>
        <w:rPr>
          <w:rFonts w:hint="eastAsia" w:ascii="宋体" w:hAnsi="宋体" w:cs="楷体"/>
          <w:color w:val="000000"/>
          <w:szCs w:val="21"/>
        </w:rPr>
        <w:t>兼职教师</w:t>
      </w:r>
    </w:p>
    <w:p>
      <w:pPr>
        <w:spacing w:after="60" w:line="360" w:lineRule="auto"/>
        <w:ind w:firstLine="440"/>
        <w:rPr>
          <w:rFonts w:ascii="宋体" w:hAnsi="宋体" w:cs="楷体"/>
          <w:szCs w:val="21"/>
        </w:rPr>
      </w:pPr>
      <w:r>
        <w:rPr>
          <w:rFonts w:hint="eastAsia" w:ascii="宋体" w:hAnsi="宋体" w:cs="楷体"/>
          <w:color w:val="000000"/>
          <w:szCs w:val="21"/>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pPr>
        <w:overflowPunct w:val="0"/>
        <w:adjustRightInd w:val="0"/>
        <w:spacing w:line="360" w:lineRule="auto"/>
        <w:ind w:firstLine="422" w:firstLineChars="200"/>
        <w:outlineLvl w:val="0"/>
        <w:rPr>
          <w:rFonts w:ascii="宋体" w:hAnsi="宋体" w:cs="楷体"/>
          <w:b/>
          <w:szCs w:val="21"/>
        </w:rPr>
      </w:pPr>
      <w:r>
        <w:rPr>
          <w:rFonts w:hint="eastAsia" w:ascii="宋体" w:hAnsi="宋体" w:cs="楷体"/>
          <w:b/>
          <w:szCs w:val="21"/>
        </w:rPr>
        <w:t>（二）教学设施</w:t>
      </w:r>
    </w:p>
    <w:p>
      <w:pPr>
        <w:numPr>
          <w:ilvl w:val="0"/>
          <w:numId w:val="5"/>
        </w:numPr>
        <w:tabs>
          <w:tab w:val="left" w:pos="751"/>
        </w:tabs>
        <w:spacing w:line="360" w:lineRule="auto"/>
        <w:ind w:firstLine="440"/>
        <w:rPr>
          <w:rFonts w:ascii="宋体" w:hAnsi="宋体" w:cs="楷体"/>
          <w:szCs w:val="21"/>
        </w:rPr>
      </w:pPr>
      <w:r>
        <w:rPr>
          <w:rFonts w:hint="eastAsia" w:ascii="宋体" w:hAnsi="宋体" w:cs="楷体"/>
          <w:color w:val="000000"/>
          <w:szCs w:val="21"/>
        </w:rPr>
        <w:t>专业教室基本条件</w:t>
      </w:r>
    </w:p>
    <w:p>
      <w:pPr>
        <w:spacing w:line="360" w:lineRule="auto"/>
        <w:ind w:firstLine="440"/>
        <w:rPr>
          <w:rFonts w:ascii="宋体" w:hAnsi="宋体" w:cs="楷体"/>
          <w:szCs w:val="21"/>
        </w:rPr>
      </w:pPr>
      <w:r>
        <w:rPr>
          <w:rFonts w:hint="eastAsia" w:ascii="宋体" w:hAnsi="宋体" w:cs="楷体"/>
          <w:color w:val="000000"/>
          <w:szCs w:val="21"/>
        </w:rPr>
        <w:t xml:space="preserve">专业教室一般配备黑（白）板、多媒体计算机、投影设备、音响设备，互联网接入或 </w:t>
      </w:r>
      <w:r>
        <w:rPr>
          <w:rFonts w:hint="eastAsia" w:ascii="宋体" w:hAnsi="宋体" w:cs="楷体"/>
          <w:b/>
          <w:bCs/>
          <w:color w:val="000000"/>
          <w:szCs w:val="21"/>
          <w:lang w:bidi="en-US"/>
        </w:rPr>
        <w:t>Wi-Fi</w:t>
      </w:r>
      <w:r>
        <w:rPr>
          <w:rFonts w:hint="eastAsia" w:ascii="宋体" w:hAnsi="宋体" w:cs="楷体"/>
          <w:color w:val="000000"/>
          <w:szCs w:val="21"/>
        </w:rPr>
        <w:t>环境，并实施网络安全防护措施</w:t>
      </w:r>
      <w:r>
        <w:rPr>
          <w:rFonts w:hint="eastAsia" w:ascii="宋体" w:hAnsi="宋体" w:cs="楷体"/>
          <w:b/>
          <w:bCs/>
          <w:color w:val="000000"/>
          <w:szCs w:val="21"/>
        </w:rPr>
        <w:t>；</w:t>
      </w:r>
      <w:r>
        <w:rPr>
          <w:rFonts w:hint="eastAsia" w:ascii="宋体" w:hAnsi="宋体" w:cs="楷体"/>
          <w:color w:val="000000"/>
          <w:szCs w:val="21"/>
        </w:rPr>
        <w:t>安装应急照明装置并保持良好状态</w:t>
      </w:r>
      <w:r>
        <w:rPr>
          <w:rFonts w:hint="eastAsia" w:ascii="宋体" w:hAnsi="宋体" w:cs="楷体"/>
          <w:b/>
          <w:bCs/>
          <w:color w:val="000000"/>
          <w:szCs w:val="21"/>
        </w:rPr>
        <w:t>，</w:t>
      </w:r>
      <w:r>
        <w:rPr>
          <w:rFonts w:hint="eastAsia" w:ascii="宋体" w:hAnsi="宋体" w:cs="楷体"/>
          <w:color w:val="000000"/>
          <w:szCs w:val="21"/>
        </w:rPr>
        <w:t>符合紧急疏散要求，标志明显，保持逃生通道畅通无阻。</w:t>
      </w:r>
    </w:p>
    <w:p>
      <w:pPr>
        <w:numPr>
          <w:ilvl w:val="0"/>
          <w:numId w:val="5"/>
        </w:numPr>
        <w:tabs>
          <w:tab w:val="left" w:pos="794"/>
        </w:tabs>
        <w:spacing w:line="360" w:lineRule="auto"/>
        <w:ind w:firstLine="420"/>
        <w:rPr>
          <w:rFonts w:ascii="宋体" w:hAnsi="宋体" w:cs="楷体"/>
          <w:color w:val="000000"/>
          <w:szCs w:val="21"/>
          <w:lang w:bidi="en-US"/>
        </w:rPr>
      </w:pPr>
      <w:bookmarkStart w:id="11" w:name="bookmark80"/>
      <w:bookmarkEnd w:id="11"/>
      <w:r>
        <w:rPr>
          <w:rFonts w:hint="eastAsia" w:ascii="宋体" w:hAnsi="宋体" w:cs="楷体"/>
          <w:color w:val="000000"/>
          <w:szCs w:val="21"/>
          <w:lang w:bidi="en-US"/>
        </w:rPr>
        <w:t>校内主要实训室</w:t>
      </w:r>
    </w:p>
    <w:p>
      <w:pPr>
        <w:spacing w:beforeLines="50" w:afterLines="50"/>
        <w:jc w:val="center"/>
        <w:rPr>
          <w:rFonts w:ascii="仿宋" w:hAnsi="仿宋" w:eastAsia="仿宋" w:cs="仿宋"/>
          <w:sz w:val="24"/>
        </w:rPr>
      </w:pPr>
      <w:r>
        <w:rPr>
          <w:rFonts w:hint="eastAsia" w:ascii="仿宋" w:hAnsi="仿宋" w:eastAsia="仿宋" w:cs="仿宋"/>
          <w:b/>
          <w:bCs/>
        </w:rPr>
        <w:t>表5 主要实训室</w:t>
      </w:r>
    </w:p>
    <w:tbl>
      <w:tblPr>
        <w:tblStyle w:val="5"/>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254"/>
        <w:gridCol w:w="707"/>
        <w:gridCol w:w="3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blHeader/>
          <w:jc w:val="center"/>
        </w:trPr>
        <w:tc>
          <w:tcPr>
            <w:tcW w:w="2144" w:type="dxa"/>
          </w:tcPr>
          <w:p>
            <w:pPr>
              <w:widowControl/>
              <w:jc w:val="center"/>
              <w:rPr>
                <w:rFonts w:hAnsi="宋体"/>
                <w:b/>
                <w:kern w:val="0"/>
                <w:sz w:val="18"/>
                <w:szCs w:val="18"/>
              </w:rPr>
            </w:pPr>
            <w:r>
              <w:rPr>
                <w:rFonts w:hint="eastAsia" w:hAnsi="宋体"/>
                <w:b/>
                <w:kern w:val="0"/>
                <w:sz w:val="18"/>
                <w:szCs w:val="18"/>
              </w:rPr>
              <w:t>实训室</w:t>
            </w:r>
          </w:p>
        </w:tc>
        <w:tc>
          <w:tcPr>
            <w:tcW w:w="2254" w:type="dxa"/>
          </w:tcPr>
          <w:p>
            <w:pPr>
              <w:widowControl/>
              <w:jc w:val="center"/>
              <w:rPr>
                <w:rFonts w:hAnsi="宋体"/>
                <w:b/>
                <w:kern w:val="0"/>
                <w:sz w:val="18"/>
                <w:szCs w:val="18"/>
              </w:rPr>
            </w:pPr>
            <w:r>
              <w:rPr>
                <w:rFonts w:hint="eastAsia" w:hAnsi="宋体"/>
                <w:b/>
                <w:kern w:val="0"/>
                <w:sz w:val="18"/>
                <w:szCs w:val="18"/>
              </w:rPr>
              <w:t>主要设备</w:t>
            </w:r>
          </w:p>
        </w:tc>
        <w:tc>
          <w:tcPr>
            <w:tcW w:w="707" w:type="dxa"/>
          </w:tcPr>
          <w:p>
            <w:pPr>
              <w:widowControl/>
              <w:jc w:val="center"/>
              <w:rPr>
                <w:rFonts w:hAnsi="宋体"/>
                <w:b/>
                <w:kern w:val="0"/>
                <w:sz w:val="18"/>
                <w:szCs w:val="18"/>
              </w:rPr>
            </w:pPr>
            <w:r>
              <w:rPr>
                <w:rFonts w:hint="eastAsia" w:hAnsi="宋体"/>
                <w:b/>
                <w:kern w:val="0"/>
                <w:sz w:val="18"/>
                <w:szCs w:val="18"/>
              </w:rPr>
              <w:t>数量</w:t>
            </w:r>
          </w:p>
        </w:tc>
        <w:tc>
          <w:tcPr>
            <w:tcW w:w="3155" w:type="dxa"/>
          </w:tcPr>
          <w:p>
            <w:pPr>
              <w:widowControl/>
              <w:jc w:val="center"/>
              <w:rPr>
                <w:rFonts w:hAnsi="宋体"/>
                <w:b/>
                <w:kern w:val="0"/>
                <w:sz w:val="18"/>
                <w:szCs w:val="18"/>
              </w:rPr>
            </w:pPr>
            <w:r>
              <w:rPr>
                <w:rFonts w:hint="eastAsia" w:hAnsi="宋体"/>
                <w:b/>
                <w:kern w:val="0"/>
                <w:sz w:val="18"/>
                <w:szCs w:val="18"/>
              </w:rPr>
              <w:t>适合课程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restart"/>
            <w:vAlign w:val="center"/>
          </w:tcPr>
          <w:p>
            <w:pPr>
              <w:widowControl/>
              <w:jc w:val="left"/>
              <w:rPr>
                <w:kern w:val="0"/>
                <w:sz w:val="18"/>
                <w:szCs w:val="18"/>
              </w:rPr>
            </w:pPr>
            <w:r>
              <w:rPr>
                <w:rFonts w:hint="eastAsia"/>
                <w:kern w:val="0"/>
                <w:sz w:val="18"/>
                <w:szCs w:val="18"/>
              </w:rPr>
              <w:t>网络服务器配置实训室</w:t>
            </w:r>
          </w:p>
        </w:tc>
        <w:tc>
          <w:tcPr>
            <w:tcW w:w="2254" w:type="dxa"/>
          </w:tcPr>
          <w:p>
            <w:pPr>
              <w:widowControl/>
              <w:jc w:val="left"/>
              <w:rPr>
                <w:kern w:val="0"/>
                <w:sz w:val="18"/>
                <w:szCs w:val="18"/>
              </w:rPr>
            </w:pPr>
            <w:r>
              <w:rPr>
                <w:rFonts w:hint="eastAsia"/>
                <w:kern w:val="0"/>
                <w:sz w:val="18"/>
                <w:szCs w:val="18"/>
              </w:rPr>
              <w:t>PC机</w:t>
            </w:r>
          </w:p>
        </w:tc>
        <w:tc>
          <w:tcPr>
            <w:tcW w:w="707" w:type="dxa"/>
          </w:tcPr>
          <w:p>
            <w:pPr>
              <w:widowControl/>
              <w:jc w:val="left"/>
              <w:rPr>
                <w:kern w:val="0"/>
                <w:sz w:val="18"/>
                <w:szCs w:val="18"/>
              </w:rPr>
            </w:pPr>
            <w:r>
              <w:rPr>
                <w:rFonts w:hint="eastAsia"/>
                <w:kern w:val="0"/>
                <w:sz w:val="18"/>
                <w:szCs w:val="18"/>
              </w:rPr>
              <w:t>42台</w:t>
            </w:r>
          </w:p>
        </w:tc>
        <w:tc>
          <w:tcPr>
            <w:tcW w:w="3155" w:type="dxa"/>
            <w:vMerge w:val="restart"/>
            <w:vAlign w:val="center"/>
          </w:tcPr>
          <w:p>
            <w:pPr>
              <w:widowControl/>
              <w:jc w:val="left"/>
              <w:rPr>
                <w:kern w:val="0"/>
                <w:sz w:val="18"/>
                <w:szCs w:val="18"/>
              </w:rPr>
            </w:pPr>
            <w:r>
              <w:rPr>
                <w:rFonts w:hint="eastAsia"/>
                <w:kern w:val="0"/>
                <w:sz w:val="18"/>
                <w:szCs w:val="18"/>
              </w:rPr>
              <w:t>Windows网络操作系统</w:t>
            </w:r>
          </w:p>
          <w:p>
            <w:pPr>
              <w:widowControl/>
              <w:jc w:val="left"/>
              <w:rPr>
                <w:kern w:val="0"/>
                <w:sz w:val="18"/>
                <w:szCs w:val="18"/>
              </w:rPr>
            </w:pPr>
            <w:r>
              <w:rPr>
                <w:rFonts w:hint="eastAsia"/>
                <w:kern w:val="0"/>
                <w:sz w:val="18"/>
                <w:szCs w:val="18"/>
              </w:rPr>
              <w:t>Linux服务器配置与管理</w:t>
            </w:r>
          </w:p>
          <w:p>
            <w:pPr>
              <w:widowControl/>
              <w:jc w:val="left"/>
              <w:rPr>
                <w:kern w:val="0"/>
                <w:sz w:val="18"/>
                <w:szCs w:val="18"/>
              </w:rPr>
            </w:pPr>
            <w:r>
              <w:rPr>
                <w:rFonts w:hint="eastAsia"/>
                <w:kern w:val="0"/>
                <w:sz w:val="18"/>
                <w:szCs w:val="18"/>
              </w:rPr>
              <w:t>Python程序设计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服务器</w:t>
            </w:r>
          </w:p>
        </w:tc>
        <w:tc>
          <w:tcPr>
            <w:tcW w:w="707" w:type="dxa"/>
          </w:tcPr>
          <w:p>
            <w:pPr>
              <w:widowControl/>
              <w:jc w:val="left"/>
              <w:rPr>
                <w:kern w:val="0"/>
                <w:sz w:val="18"/>
                <w:szCs w:val="18"/>
              </w:rPr>
            </w:pPr>
            <w:r>
              <w:rPr>
                <w:rFonts w:hint="eastAsia"/>
                <w:kern w:val="0"/>
                <w:sz w:val="18"/>
                <w:szCs w:val="18"/>
              </w:rPr>
              <w:t>1台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交换机</w:t>
            </w:r>
          </w:p>
        </w:tc>
        <w:tc>
          <w:tcPr>
            <w:tcW w:w="707" w:type="dxa"/>
          </w:tcPr>
          <w:p>
            <w:pPr>
              <w:widowControl/>
              <w:jc w:val="left"/>
              <w:rPr>
                <w:kern w:val="0"/>
                <w:sz w:val="18"/>
                <w:szCs w:val="18"/>
              </w:rPr>
            </w:pPr>
            <w:r>
              <w:rPr>
                <w:rFonts w:hint="eastAsia"/>
                <w:kern w:val="0"/>
                <w:sz w:val="18"/>
                <w:szCs w:val="18"/>
              </w:rPr>
              <w:t>2台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restart"/>
            <w:vAlign w:val="center"/>
          </w:tcPr>
          <w:p>
            <w:pPr>
              <w:widowControl/>
              <w:jc w:val="left"/>
              <w:rPr>
                <w:kern w:val="0"/>
                <w:sz w:val="18"/>
                <w:szCs w:val="18"/>
              </w:rPr>
            </w:pPr>
            <w:r>
              <w:rPr>
                <w:rFonts w:hint="eastAsia"/>
                <w:kern w:val="0"/>
                <w:sz w:val="18"/>
                <w:szCs w:val="18"/>
              </w:rPr>
              <w:t>网络管理实训室</w:t>
            </w:r>
          </w:p>
        </w:tc>
        <w:tc>
          <w:tcPr>
            <w:tcW w:w="2254" w:type="dxa"/>
          </w:tcPr>
          <w:p>
            <w:pPr>
              <w:widowControl/>
              <w:jc w:val="left"/>
              <w:rPr>
                <w:kern w:val="0"/>
                <w:sz w:val="18"/>
                <w:szCs w:val="18"/>
              </w:rPr>
            </w:pPr>
            <w:r>
              <w:rPr>
                <w:rFonts w:hint="eastAsia"/>
                <w:kern w:val="0"/>
                <w:sz w:val="18"/>
                <w:szCs w:val="18"/>
              </w:rPr>
              <w:t>PC机</w:t>
            </w:r>
          </w:p>
        </w:tc>
        <w:tc>
          <w:tcPr>
            <w:tcW w:w="707" w:type="dxa"/>
          </w:tcPr>
          <w:p>
            <w:pPr>
              <w:widowControl/>
              <w:jc w:val="left"/>
              <w:rPr>
                <w:kern w:val="0"/>
                <w:sz w:val="18"/>
                <w:szCs w:val="18"/>
              </w:rPr>
            </w:pPr>
            <w:r>
              <w:rPr>
                <w:rFonts w:hint="eastAsia"/>
                <w:kern w:val="0"/>
                <w:sz w:val="18"/>
                <w:szCs w:val="18"/>
              </w:rPr>
              <w:t>42台</w:t>
            </w:r>
          </w:p>
        </w:tc>
        <w:tc>
          <w:tcPr>
            <w:tcW w:w="3155" w:type="dxa"/>
            <w:vMerge w:val="restart"/>
            <w:vAlign w:val="center"/>
          </w:tcPr>
          <w:p>
            <w:pPr>
              <w:widowControl/>
              <w:jc w:val="left"/>
              <w:rPr>
                <w:kern w:val="0"/>
                <w:sz w:val="18"/>
                <w:szCs w:val="18"/>
              </w:rPr>
            </w:pPr>
            <w:r>
              <w:rPr>
                <w:rFonts w:hint="eastAsia"/>
                <w:kern w:val="0"/>
                <w:sz w:val="18"/>
                <w:szCs w:val="18"/>
              </w:rPr>
              <w:t>网络设备配置与管理</w:t>
            </w:r>
          </w:p>
          <w:p>
            <w:pPr>
              <w:widowControl/>
              <w:jc w:val="left"/>
              <w:rPr>
                <w:kern w:val="0"/>
                <w:sz w:val="18"/>
                <w:szCs w:val="18"/>
              </w:rPr>
            </w:pPr>
            <w:r>
              <w:rPr>
                <w:rFonts w:hint="eastAsia"/>
                <w:kern w:val="0"/>
                <w:sz w:val="18"/>
                <w:szCs w:val="18"/>
              </w:rPr>
              <w:t>Python程序设计</w:t>
            </w:r>
          </w:p>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二层交换机</w:t>
            </w:r>
          </w:p>
        </w:tc>
        <w:tc>
          <w:tcPr>
            <w:tcW w:w="707" w:type="dxa"/>
          </w:tcPr>
          <w:p>
            <w:pPr>
              <w:widowControl/>
              <w:jc w:val="left"/>
              <w:rPr>
                <w:kern w:val="0"/>
                <w:sz w:val="18"/>
                <w:szCs w:val="18"/>
              </w:rPr>
            </w:pPr>
            <w:r>
              <w:rPr>
                <w:rFonts w:hint="eastAsia"/>
                <w:kern w:val="0"/>
                <w:sz w:val="18"/>
                <w:szCs w:val="18"/>
              </w:rPr>
              <w:t>22台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三层交换机</w:t>
            </w:r>
          </w:p>
        </w:tc>
        <w:tc>
          <w:tcPr>
            <w:tcW w:w="707" w:type="dxa"/>
          </w:tcPr>
          <w:p>
            <w:pPr>
              <w:widowControl/>
              <w:jc w:val="left"/>
              <w:rPr>
                <w:kern w:val="0"/>
                <w:sz w:val="18"/>
                <w:szCs w:val="18"/>
              </w:rPr>
            </w:pPr>
            <w:r>
              <w:rPr>
                <w:rFonts w:hint="eastAsia"/>
                <w:kern w:val="0"/>
                <w:sz w:val="18"/>
                <w:szCs w:val="18"/>
              </w:rPr>
              <w:t>7台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路由器</w:t>
            </w:r>
          </w:p>
        </w:tc>
        <w:tc>
          <w:tcPr>
            <w:tcW w:w="707" w:type="dxa"/>
          </w:tcPr>
          <w:p>
            <w:pPr>
              <w:widowControl/>
              <w:jc w:val="left"/>
              <w:rPr>
                <w:kern w:val="0"/>
                <w:sz w:val="18"/>
                <w:szCs w:val="18"/>
              </w:rPr>
            </w:pPr>
            <w:r>
              <w:rPr>
                <w:rFonts w:hint="eastAsia"/>
                <w:kern w:val="0"/>
                <w:sz w:val="18"/>
                <w:szCs w:val="18"/>
              </w:rPr>
              <w:t>23台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restart"/>
            <w:vAlign w:val="center"/>
          </w:tcPr>
          <w:p>
            <w:pPr>
              <w:widowControl/>
              <w:jc w:val="left"/>
              <w:rPr>
                <w:kern w:val="0"/>
                <w:sz w:val="18"/>
                <w:szCs w:val="18"/>
              </w:rPr>
            </w:pPr>
            <w:r>
              <w:rPr>
                <w:rFonts w:hint="eastAsia"/>
                <w:kern w:val="0"/>
                <w:sz w:val="18"/>
                <w:szCs w:val="18"/>
              </w:rPr>
              <w:t>网络安全实训室&amp;无线网络与安全管理实训室</w:t>
            </w:r>
          </w:p>
        </w:tc>
        <w:tc>
          <w:tcPr>
            <w:tcW w:w="2254" w:type="dxa"/>
          </w:tcPr>
          <w:p>
            <w:pPr>
              <w:widowControl/>
              <w:jc w:val="left"/>
              <w:rPr>
                <w:kern w:val="0"/>
                <w:sz w:val="18"/>
                <w:szCs w:val="18"/>
              </w:rPr>
            </w:pPr>
            <w:r>
              <w:rPr>
                <w:rFonts w:hint="eastAsia"/>
                <w:kern w:val="0"/>
                <w:sz w:val="18"/>
                <w:szCs w:val="18"/>
              </w:rPr>
              <w:t>PC机</w:t>
            </w:r>
          </w:p>
        </w:tc>
        <w:tc>
          <w:tcPr>
            <w:tcW w:w="707" w:type="dxa"/>
          </w:tcPr>
          <w:p>
            <w:pPr>
              <w:widowControl/>
              <w:jc w:val="left"/>
              <w:rPr>
                <w:kern w:val="0"/>
                <w:sz w:val="18"/>
                <w:szCs w:val="18"/>
              </w:rPr>
            </w:pPr>
            <w:r>
              <w:rPr>
                <w:rFonts w:hint="eastAsia"/>
                <w:kern w:val="0"/>
                <w:sz w:val="18"/>
                <w:szCs w:val="18"/>
              </w:rPr>
              <w:t>42台</w:t>
            </w:r>
          </w:p>
        </w:tc>
        <w:tc>
          <w:tcPr>
            <w:tcW w:w="3155" w:type="dxa"/>
            <w:vMerge w:val="restart"/>
            <w:vAlign w:val="center"/>
          </w:tcPr>
          <w:p>
            <w:pPr>
              <w:widowControl/>
              <w:jc w:val="left"/>
              <w:rPr>
                <w:kern w:val="0"/>
                <w:sz w:val="18"/>
                <w:szCs w:val="18"/>
              </w:rPr>
            </w:pPr>
            <w:r>
              <w:rPr>
                <w:rFonts w:hint="eastAsia"/>
                <w:kern w:val="0"/>
                <w:sz w:val="18"/>
                <w:szCs w:val="18"/>
              </w:rPr>
              <w:t>网络设备配置与管理</w:t>
            </w:r>
          </w:p>
          <w:p>
            <w:pPr>
              <w:widowControl/>
              <w:jc w:val="left"/>
              <w:rPr>
                <w:kern w:val="0"/>
                <w:sz w:val="18"/>
                <w:szCs w:val="18"/>
              </w:rPr>
            </w:pPr>
            <w:r>
              <w:rPr>
                <w:rFonts w:hint="eastAsia"/>
                <w:kern w:val="0"/>
                <w:sz w:val="18"/>
                <w:szCs w:val="18"/>
              </w:rPr>
              <w:t>信息安全基础</w:t>
            </w:r>
          </w:p>
          <w:p>
            <w:pPr>
              <w:widowControl/>
              <w:jc w:val="left"/>
              <w:rPr>
                <w:kern w:val="0"/>
                <w:sz w:val="18"/>
                <w:szCs w:val="18"/>
              </w:rPr>
            </w:pPr>
            <w:r>
              <w:rPr>
                <w:rFonts w:hint="eastAsia"/>
                <w:kern w:val="0"/>
                <w:sz w:val="18"/>
                <w:szCs w:val="18"/>
              </w:rPr>
              <w:t>Python程序设计</w:t>
            </w:r>
          </w:p>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二层交换机</w:t>
            </w:r>
          </w:p>
        </w:tc>
        <w:tc>
          <w:tcPr>
            <w:tcW w:w="707" w:type="dxa"/>
          </w:tcPr>
          <w:p>
            <w:pPr>
              <w:widowControl/>
              <w:jc w:val="left"/>
              <w:rPr>
                <w:kern w:val="0"/>
                <w:sz w:val="18"/>
                <w:szCs w:val="18"/>
              </w:rPr>
            </w:pPr>
            <w:r>
              <w:rPr>
                <w:rFonts w:hint="eastAsia"/>
                <w:kern w:val="0"/>
                <w:sz w:val="18"/>
                <w:szCs w:val="18"/>
              </w:rPr>
              <w:t>18台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三层交换机</w:t>
            </w:r>
          </w:p>
        </w:tc>
        <w:tc>
          <w:tcPr>
            <w:tcW w:w="707" w:type="dxa"/>
          </w:tcPr>
          <w:p>
            <w:pPr>
              <w:widowControl/>
              <w:jc w:val="left"/>
              <w:rPr>
                <w:kern w:val="0"/>
                <w:sz w:val="18"/>
                <w:szCs w:val="18"/>
              </w:rPr>
            </w:pPr>
            <w:r>
              <w:rPr>
                <w:rFonts w:hint="eastAsia"/>
                <w:kern w:val="0"/>
                <w:sz w:val="18"/>
                <w:szCs w:val="18"/>
              </w:rPr>
              <w:t>12台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路由器</w:t>
            </w:r>
          </w:p>
        </w:tc>
        <w:tc>
          <w:tcPr>
            <w:tcW w:w="707" w:type="dxa"/>
          </w:tcPr>
          <w:p>
            <w:pPr>
              <w:widowControl/>
              <w:jc w:val="left"/>
              <w:rPr>
                <w:kern w:val="0"/>
                <w:sz w:val="18"/>
                <w:szCs w:val="18"/>
              </w:rPr>
            </w:pPr>
            <w:r>
              <w:rPr>
                <w:rFonts w:hint="eastAsia"/>
                <w:kern w:val="0"/>
                <w:sz w:val="18"/>
                <w:szCs w:val="18"/>
              </w:rPr>
              <w:t>12台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防火墙</w:t>
            </w:r>
          </w:p>
        </w:tc>
        <w:tc>
          <w:tcPr>
            <w:tcW w:w="707" w:type="dxa"/>
          </w:tcPr>
          <w:p>
            <w:pPr>
              <w:widowControl/>
              <w:jc w:val="left"/>
              <w:rPr>
                <w:kern w:val="0"/>
                <w:sz w:val="18"/>
                <w:szCs w:val="18"/>
              </w:rPr>
            </w:pPr>
            <w:r>
              <w:rPr>
                <w:rFonts w:hint="eastAsia"/>
                <w:kern w:val="0"/>
                <w:sz w:val="18"/>
                <w:szCs w:val="18"/>
              </w:rPr>
              <w:t>12台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网络安全设备</w:t>
            </w:r>
          </w:p>
        </w:tc>
        <w:tc>
          <w:tcPr>
            <w:tcW w:w="707" w:type="dxa"/>
          </w:tcPr>
          <w:p>
            <w:pPr>
              <w:widowControl/>
              <w:jc w:val="left"/>
              <w:rPr>
                <w:kern w:val="0"/>
                <w:sz w:val="18"/>
                <w:szCs w:val="18"/>
              </w:rPr>
            </w:pPr>
            <w:r>
              <w:rPr>
                <w:rFonts w:hint="eastAsia"/>
                <w:kern w:val="0"/>
                <w:sz w:val="18"/>
                <w:szCs w:val="18"/>
              </w:rPr>
              <w:t>12台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语音集成设备</w:t>
            </w:r>
          </w:p>
        </w:tc>
        <w:tc>
          <w:tcPr>
            <w:tcW w:w="707" w:type="dxa"/>
          </w:tcPr>
          <w:p>
            <w:pPr>
              <w:widowControl/>
              <w:jc w:val="left"/>
              <w:rPr>
                <w:kern w:val="0"/>
                <w:sz w:val="18"/>
                <w:szCs w:val="18"/>
              </w:rPr>
            </w:pPr>
            <w:r>
              <w:rPr>
                <w:rFonts w:hint="eastAsia"/>
                <w:kern w:val="0"/>
                <w:sz w:val="18"/>
                <w:szCs w:val="18"/>
              </w:rPr>
              <w:t>19台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restart"/>
            <w:vAlign w:val="center"/>
          </w:tcPr>
          <w:p>
            <w:pPr>
              <w:widowControl/>
              <w:jc w:val="left"/>
              <w:rPr>
                <w:kern w:val="0"/>
                <w:sz w:val="18"/>
                <w:szCs w:val="18"/>
              </w:rPr>
            </w:pPr>
            <w:r>
              <w:rPr>
                <w:rFonts w:hint="eastAsia"/>
                <w:kern w:val="0"/>
                <w:sz w:val="18"/>
                <w:szCs w:val="18"/>
              </w:rPr>
              <w:t>信息网络布线实训室</w:t>
            </w:r>
          </w:p>
        </w:tc>
        <w:tc>
          <w:tcPr>
            <w:tcW w:w="2254" w:type="dxa"/>
          </w:tcPr>
          <w:p>
            <w:pPr>
              <w:widowControl/>
              <w:jc w:val="left"/>
              <w:rPr>
                <w:kern w:val="0"/>
                <w:sz w:val="18"/>
                <w:szCs w:val="18"/>
              </w:rPr>
            </w:pPr>
            <w:r>
              <w:rPr>
                <w:rFonts w:hint="eastAsia"/>
                <w:kern w:val="0"/>
                <w:sz w:val="18"/>
                <w:szCs w:val="18"/>
              </w:rPr>
              <w:t>Vcom模拟墙</w:t>
            </w:r>
          </w:p>
        </w:tc>
        <w:tc>
          <w:tcPr>
            <w:tcW w:w="707" w:type="dxa"/>
          </w:tcPr>
          <w:p>
            <w:pPr>
              <w:widowControl/>
              <w:jc w:val="left"/>
              <w:rPr>
                <w:kern w:val="0"/>
                <w:sz w:val="18"/>
                <w:szCs w:val="18"/>
              </w:rPr>
            </w:pPr>
            <w:r>
              <w:rPr>
                <w:rFonts w:hint="eastAsia"/>
                <w:kern w:val="0"/>
                <w:sz w:val="18"/>
                <w:szCs w:val="18"/>
              </w:rPr>
              <w:t>1套</w:t>
            </w:r>
          </w:p>
        </w:tc>
        <w:tc>
          <w:tcPr>
            <w:tcW w:w="3155" w:type="dxa"/>
            <w:vMerge w:val="restart"/>
            <w:vAlign w:val="center"/>
          </w:tcPr>
          <w:p>
            <w:pPr>
              <w:widowControl/>
              <w:jc w:val="left"/>
              <w:rPr>
                <w:kern w:val="0"/>
                <w:sz w:val="18"/>
                <w:szCs w:val="18"/>
              </w:rPr>
            </w:pPr>
            <w:r>
              <w:rPr>
                <w:rFonts w:hint="eastAsia"/>
                <w:kern w:val="0"/>
                <w:sz w:val="18"/>
                <w:szCs w:val="18"/>
              </w:rPr>
              <w:t>信息网络布线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光纤熔接机</w:t>
            </w:r>
          </w:p>
        </w:tc>
        <w:tc>
          <w:tcPr>
            <w:tcW w:w="707" w:type="dxa"/>
          </w:tcPr>
          <w:p>
            <w:pPr>
              <w:widowControl/>
              <w:jc w:val="left"/>
              <w:rPr>
                <w:kern w:val="0"/>
                <w:sz w:val="18"/>
                <w:szCs w:val="18"/>
              </w:rPr>
            </w:pPr>
            <w:r>
              <w:rPr>
                <w:rFonts w:hint="eastAsia"/>
                <w:kern w:val="0"/>
                <w:sz w:val="18"/>
                <w:szCs w:val="18"/>
              </w:rPr>
              <w:t>1台</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光纤工具</w:t>
            </w:r>
          </w:p>
        </w:tc>
        <w:tc>
          <w:tcPr>
            <w:tcW w:w="707" w:type="dxa"/>
          </w:tcPr>
          <w:p>
            <w:pPr>
              <w:widowControl/>
              <w:jc w:val="left"/>
              <w:rPr>
                <w:kern w:val="0"/>
                <w:sz w:val="18"/>
                <w:szCs w:val="18"/>
              </w:rPr>
            </w:pPr>
            <w:r>
              <w:rPr>
                <w:rFonts w:hint="eastAsia"/>
                <w:kern w:val="0"/>
                <w:sz w:val="18"/>
                <w:szCs w:val="18"/>
              </w:rPr>
              <w:t>2套</w:t>
            </w:r>
          </w:p>
        </w:tc>
        <w:tc>
          <w:tcPr>
            <w:tcW w:w="3155" w:type="dxa"/>
            <w:vMerge w:val="continue"/>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restart"/>
            <w:vAlign w:val="center"/>
          </w:tcPr>
          <w:p>
            <w:pPr>
              <w:widowControl/>
              <w:jc w:val="left"/>
              <w:rPr>
                <w:kern w:val="0"/>
                <w:sz w:val="18"/>
                <w:szCs w:val="18"/>
              </w:rPr>
            </w:pPr>
            <w:r>
              <w:rPr>
                <w:rFonts w:hint="eastAsia"/>
                <w:kern w:val="0"/>
                <w:sz w:val="18"/>
                <w:szCs w:val="18"/>
              </w:rPr>
              <w:t>云计算应用实训室</w:t>
            </w:r>
          </w:p>
        </w:tc>
        <w:tc>
          <w:tcPr>
            <w:tcW w:w="2254" w:type="dxa"/>
          </w:tcPr>
          <w:p>
            <w:pPr>
              <w:widowControl/>
              <w:jc w:val="left"/>
              <w:rPr>
                <w:kern w:val="0"/>
                <w:sz w:val="18"/>
                <w:szCs w:val="18"/>
              </w:rPr>
            </w:pPr>
            <w:r>
              <w:rPr>
                <w:rFonts w:hint="eastAsia"/>
                <w:kern w:val="0"/>
                <w:sz w:val="18"/>
                <w:szCs w:val="18"/>
              </w:rPr>
              <w:t>计算机</w:t>
            </w:r>
          </w:p>
        </w:tc>
        <w:tc>
          <w:tcPr>
            <w:tcW w:w="707" w:type="dxa"/>
          </w:tcPr>
          <w:p>
            <w:pPr>
              <w:widowControl/>
              <w:jc w:val="left"/>
              <w:rPr>
                <w:kern w:val="0"/>
                <w:sz w:val="18"/>
                <w:szCs w:val="18"/>
              </w:rPr>
            </w:pPr>
            <w:r>
              <w:rPr>
                <w:rFonts w:hint="eastAsia"/>
                <w:kern w:val="0"/>
                <w:sz w:val="18"/>
                <w:szCs w:val="18"/>
              </w:rPr>
              <w:t>41台</w:t>
            </w:r>
          </w:p>
        </w:tc>
        <w:tc>
          <w:tcPr>
            <w:tcW w:w="3155" w:type="dxa"/>
            <w:vMerge w:val="restart"/>
            <w:vAlign w:val="center"/>
          </w:tcPr>
          <w:p>
            <w:pPr>
              <w:widowControl/>
              <w:jc w:val="left"/>
              <w:rPr>
                <w:kern w:val="0"/>
                <w:sz w:val="18"/>
                <w:szCs w:val="18"/>
              </w:rPr>
            </w:pPr>
            <w:r>
              <w:rPr>
                <w:rFonts w:hint="eastAsia"/>
                <w:kern w:val="0"/>
                <w:sz w:val="18"/>
                <w:szCs w:val="18"/>
              </w:rPr>
              <w:t>虚拟化技术、</w:t>
            </w:r>
            <w:r>
              <w:rPr>
                <w:rFonts w:hint="eastAsia" w:ascii="宋体" w:hAnsi="宋体" w:cs="宋体"/>
                <w:color w:val="000000"/>
                <w:kern w:val="0"/>
                <w:sz w:val="18"/>
                <w:szCs w:val="18"/>
              </w:rPr>
              <w:t>Hadoop大数据开发基础、云计算架构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4" w:type="dxa"/>
            <w:vMerge w:val="continue"/>
            <w:vAlign w:val="center"/>
          </w:tcPr>
          <w:p>
            <w:pPr>
              <w:widowControl/>
              <w:jc w:val="left"/>
              <w:rPr>
                <w:kern w:val="0"/>
                <w:sz w:val="18"/>
                <w:szCs w:val="18"/>
              </w:rPr>
            </w:pPr>
          </w:p>
        </w:tc>
        <w:tc>
          <w:tcPr>
            <w:tcW w:w="2254" w:type="dxa"/>
          </w:tcPr>
          <w:p>
            <w:pPr>
              <w:widowControl/>
              <w:jc w:val="left"/>
              <w:rPr>
                <w:kern w:val="0"/>
                <w:sz w:val="18"/>
                <w:szCs w:val="18"/>
              </w:rPr>
            </w:pPr>
            <w:r>
              <w:rPr>
                <w:rFonts w:hint="eastAsia"/>
                <w:kern w:val="0"/>
                <w:sz w:val="18"/>
                <w:szCs w:val="18"/>
              </w:rPr>
              <w:t>云计算平台组建设备</w:t>
            </w:r>
          </w:p>
        </w:tc>
        <w:tc>
          <w:tcPr>
            <w:tcW w:w="707" w:type="dxa"/>
          </w:tcPr>
          <w:p>
            <w:pPr>
              <w:widowControl/>
              <w:jc w:val="left"/>
              <w:rPr>
                <w:kern w:val="0"/>
                <w:sz w:val="18"/>
                <w:szCs w:val="18"/>
              </w:rPr>
            </w:pPr>
            <w:r>
              <w:rPr>
                <w:rFonts w:hint="eastAsia"/>
                <w:kern w:val="0"/>
                <w:sz w:val="18"/>
                <w:szCs w:val="18"/>
              </w:rPr>
              <w:t>10套</w:t>
            </w:r>
          </w:p>
        </w:tc>
        <w:tc>
          <w:tcPr>
            <w:tcW w:w="3155" w:type="dxa"/>
            <w:vMerge w:val="continue"/>
            <w:vAlign w:val="center"/>
          </w:tcPr>
          <w:p>
            <w:pPr>
              <w:widowControl/>
              <w:jc w:val="left"/>
              <w:rPr>
                <w:kern w:val="0"/>
                <w:sz w:val="18"/>
                <w:szCs w:val="18"/>
              </w:rPr>
            </w:pPr>
          </w:p>
        </w:tc>
      </w:tr>
    </w:tbl>
    <w:p>
      <w:pPr>
        <w:tabs>
          <w:tab w:val="left" w:pos="794"/>
        </w:tabs>
        <w:spacing w:line="360" w:lineRule="auto"/>
        <w:ind w:left="420"/>
        <w:rPr>
          <w:rFonts w:ascii="宋体" w:hAnsi="宋体" w:cs="楷体"/>
          <w:szCs w:val="21"/>
        </w:rPr>
      </w:pPr>
      <w:bookmarkStart w:id="12" w:name="bookmark81"/>
      <w:bookmarkEnd w:id="12"/>
      <w:bookmarkStart w:id="13" w:name="bookmark85"/>
      <w:bookmarkEnd w:id="13"/>
      <w:r>
        <w:rPr>
          <w:rFonts w:hint="eastAsia" w:ascii="宋体" w:hAnsi="宋体" w:cs="楷体"/>
          <w:color w:val="000000"/>
          <w:szCs w:val="21"/>
          <w:lang w:bidi="en-US"/>
        </w:rPr>
        <w:t>3.</w:t>
      </w:r>
      <w:bookmarkStart w:id="14" w:name="bookmark87"/>
      <w:bookmarkEnd w:id="14"/>
      <w:r>
        <w:rPr>
          <w:rFonts w:hint="eastAsia" w:ascii="宋体" w:hAnsi="宋体" w:cs="楷体"/>
          <w:color w:val="000000"/>
          <w:szCs w:val="21"/>
          <w:lang w:bidi="en-US"/>
        </w:rPr>
        <w:t xml:space="preserve"> 校</w:t>
      </w:r>
      <w:r>
        <w:rPr>
          <w:rFonts w:hint="eastAsia" w:ascii="宋体" w:hAnsi="宋体" w:cs="楷体"/>
          <w:color w:val="000000"/>
          <w:szCs w:val="21"/>
        </w:rPr>
        <w:t>外实训基地基本要求</w:t>
      </w:r>
    </w:p>
    <w:p>
      <w:pPr>
        <w:tabs>
          <w:tab w:val="left" w:pos="794"/>
        </w:tabs>
        <w:spacing w:line="360" w:lineRule="auto"/>
        <w:ind w:firstLine="420" w:firstLineChars="200"/>
        <w:rPr>
          <w:rFonts w:ascii="宋体" w:hAnsi="宋体"/>
          <w:kern w:val="0"/>
        </w:rPr>
      </w:pPr>
      <w:r>
        <w:rPr>
          <w:rFonts w:hint="eastAsia" w:ascii="宋体" w:hAnsi="宋体"/>
          <w:kern w:val="0"/>
        </w:rPr>
        <w:t>在专业层面，应尽可能与相关企业建立校企合作发展联盟，为学生提供至少10家的校外实习企业，尤其是网络优化行业的知名企业。校外主要实习基地如表6所示。</w:t>
      </w:r>
    </w:p>
    <w:p>
      <w:pPr>
        <w:tabs>
          <w:tab w:val="left" w:pos="794"/>
        </w:tabs>
        <w:spacing w:line="360" w:lineRule="auto"/>
        <w:ind w:firstLine="420" w:firstLineChars="200"/>
        <w:rPr>
          <w:rFonts w:ascii="宋体" w:hAnsi="宋体" w:cs="楷体"/>
          <w:szCs w:val="21"/>
        </w:rPr>
      </w:pPr>
      <w:r>
        <w:rPr>
          <w:rFonts w:hint="eastAsia" w:ascii="宋体" w:hAnsi="宋体"/>
          <w:kern w:val="0"/>
        </w:rPr>
        <w:t>校外实习基地应提供真实企业环境，满足认知性实践、顶岗实习和应用与创新三个实践环节的教学需要。为了进一步完善顶岗实习管理细则，应与企业共同制订《实训实习过程管理细则》、《学生实训实习岗位要求》等一系列管理细则。</w:t>
      </w:r>
    </w:p>
    <w:p>
      <w:pPr>
        <w:adjustRightInd w:val="0"/>
        <w:spacing w:before="50" w:after="50" w:line="360" w:lineRule="auto"/>
        <w:ind w:left="420"/>
        <w:jc w:val="center"/>
        <w:rPr>
          <w:rFonts w:ascii="宋体" w:hAnsi="宋体"/>
          <w:kern w:val="0"/>
        </w:rPr>
      </w:pPr>
      <w:r>
        <w:rPr>
          <w:rFonts w:hint="eastAsia" w:ascii="宋体" w:hAnsi="宋体"/>
          <w:b/>
          <w:kern w:val="0"/>
          <w:sz w:val="18"/>
          <w:szCs w:val="18"/>
        </w:rPr>
        <w:t>表6 校外主要实习基地一览表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119"/>
        <w:gridCol w:w="1134"/>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序号</w:t>
            </w:r>
          </w:p>
        </w:tc>
        <w:tc>
          <w:tcPr>
            <w:tcW w:w="3119"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校外实习基地</w:t>
            </w:r>
          </w:p>
        </w:tc>
        <w:tc>
          <w:tcPr>
            <w:tcW w:w="1134"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实习方式</w:t>
            </w:r>
          </w:p>
        </w:tc>
        <w:tc>
          <w:tcPr>
            <w:tcW w:w="3402"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主要实习岗位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1</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华为技术有限公司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认知实习</w:t>
            </w:r>
          </w:p>
        </w:tc>
        <w:tc>
          <w:tcPr>
            <w:tcW w:w="3402"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计算机网络技术、云计算技术体验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2</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上海大唐移动通信设备有限公司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网络优化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3</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上海泛翔网络科技有限公司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vAlign w:val="center"/>
          </w:tcPr>
          <w:p>
            <w:pPr>
              <w:adjustRightInd w:val="0"/>
              <w:spacing w:before="50" w:after="50" w:line="300" w:lineRule="auto"/>
              <w:jc w:val="center"/>
              <w:rPr>
                <w:rFonts w:ascii="宋体" w:hAnsi="宋体"/>
                <w:kern w:val="0"/>
                <w:sz w:val="18"/>
                <w:szCs w:val="18"/>
              </w:rPr>
            </w:pPr>
            <w:r>
              <w:rPr>
                <w:rFonts w:ascii="宋体" w:hAnsi="宋体"/>
                <w:kern w:val="0"/>
                <w:sz w:val="18"/>
                <w:szCs w:val="18"/>
              </w:rPr>
              <w:t>网络工程、公司上云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4</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上海网伟信息科技有限公司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tcPr>
          <w:p>
            <w:pPr>
              <w:adjustRightInd w:val="0"/>
              <w:spacing w:before="50" w:after="50" w:line="300" w:lineRule="auto"/>
              <w:jc w:val="center"/>
              <w:rPr>
                <w:rFonts w:ascii="宋体" w:hAnsi="宋体"/>
                <w:kern w:val="0"/>
                <w:sz w:val="18"/>
                <w:szCs w:val="18"/>
              </w:rPr>
            </w:pPr>
            <w:r>
              <w:rPr>
                <w:rFonts w:ascii="宋体" w:hAnsi="宋体"/>
                <w:kern w:val="0"/>
                <w:sz w:val="18"/>
                <w:szCs w:val="18"/>
              </w:rPr>
              <w:t>网络工程、公司上云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5</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上海宇发网络科技有限公司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tcPr>
          <w:p>
            <w:pPr>
              <w:adjustRightInd w:val="0"/>
              <w:spacing w:before="50" w:after="50" w:line="300" w:lineRule="auto"/>
              <w:jc w:val="center"/>
              <w:rPr>
                <w:rFonts w:ascii="宋体" w:hAnsi="宋体"/>
                <w:kern w:val="0"/>
                <w:sz w:val="18"/>
                <w:szCs w:val="18"/>
              </w:rPr>
            </w:pPr>
            <w:r>
              <w:rPr>
                <w:rFonts w:ascii="宋体" w:hAnsi="宋体"/>
                <w:kern w:val="0"/>
                <w:sz w:val="18"/>
                <w:szCs w:val="18"/>
              </w:rPr>
              <w:t>网络工程、公司上云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6</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上海龙盛通信工程有限公司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网络工程建设及运维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7</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上海立天通信工程有限公司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网络运行维护、移动网络优化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8</w:t>
            </w:r>
          </w:p>
        </w:tc>
        <w:tc>
          <w:tcPr>
            <w:tcW w:w="3119"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上海仪电物联技术股份有限公司</w:t>
            </w:r>
          </w:p>
        </w:tc>
        <w:tc>
          <w:tcPr>
            <w:tcW w:w="1134"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402" w:type="dxa"/>
            <w:vAlign w:val="center"/>
          </w:tcPr>
          <w:p>
            <w:pPr>
              <w:adjustRightInd w:val="0"/>
              <w:spacing w:before="50" w:after="50" w:line="300" w:lineRule="auto"/>
              <w:jc w:val="center"/>
              <w:rPr>
                <w:rFonts w:ascii="宋体" w:hAnsi="宋体"/>
                <w:kern w:val="0"/>
                <w:sz w:val="18"/>
                <w:szCs w:val="18"/>
              </w:rPr>
            </w:pPr>
            <w:r>
              <w:rPr>
                <w:rFonts w:ascii="宋体" w:hAnsi="宋体"/>
                <w:kern w:val="0"/>
                <w:sz w:val="18"/>
                <w:szCs w:val="18"/>
              </w:rPr>
              <w:t>网络工程、网络施工</w:t>
            </w:r>
          </w:p>
        </w:tc>
      </w:tr>
    </w:tbl>
    <w:p>
      <w:pPr>
        <w:tabs>
          <w:tab w:val="left" w:pos="794"/>
        </w:tabs>
        <w:spacing w:line="360" w:lineRule="auto"/>
        <w:ind w:left="420"/>
        <w:rPr>
          <w:rFonts w:ascii="宋体" w:hAnsi="宋体" w:cs="楷体"/>
          <w:szCs w:val="21"/>
        </w:rPr>
      </w:pPr>
      <w:r>
        <w:rPr>
          <w:rFonts w:hint="eastAsia" w:ascii="宋体" w:hAnsi="宋体" w:cs="楷体"/>
          <w:color w:val="000000"/>
          <w:szCs w:val="21"/>
        </w:rPr>
        <w:t>4.支持信息化教学方面的基本要求</w:t>
      </w:r>
    </w:p>
    <w:p>
      <w:pPr>
        <w:spacing w:after="60" w:line="360" w:lineRule="auto"/>
        <w:ind w:firstLine="420"/>
        <w:rPr>
          <w:rFonts w:ascii="宋体" w:hAnsi="宋体" w:cs="楷体"/>
          <w:szCs w:val="21"/>
        </w:rPr>
      </w:pPr>
      <w:r>
        <w:rPr>
          <w:rFonts w:hint="eastAsia" w:ascii="宋体" w:hAnsi="宋体" w:cs="楷体"/>
          <w:color w:val="000000"/>
          <w:szCs w:val="21"/>
        </w:rPr>
        <w:t>具有可利用的数字化教学资源库、文献资料、常见问题解答等信息化条件；鼓励教师开发并利用信息化教学资源、教学平台，创新教学方法， 引导学生利用信息化教学条件自主学习，提升教学效果。</w:t>
      </w:r>
    </w:p>
    <w:p>
      <w:pPr>
        <w:overflowPunct w:val="0"/>
        <w:adjustRightInd w:val="0"/>
        <w:spacing w:line="360" w:lineRule="auto"/>
        <w:ind w:firstLine="422" w:firstLineChars="200"/>
        <w:outlineLvl w:val="0"/>
        <w:rPr>
          <w:rFonts w:ascii="宋体" w:hAnsi="宋体" w:cs="楷体"/>
          <w:b/>
          <w:szCs w:val="21"/>
        </w:rPr>
      </w:pPr>
      <w:r>
        <w:rPr>
          <w:rFonts w:hint="eastAsia" w:ascii="宋体" w:hAnsi="宋体" w:cs="楷体"/>
          <w:b/>
          <w:szCs w:val="21"/>
        </w:rPr>
        <w:t>（三）教学资源</w:t>
      </w:r>
    </w:p>
    <w:p>
      <w:pPr>
        <w:spacing w:line="300" w:lineRule="auto"/>
        <w:ind w:firstLine="420" w:firstLineChars="200"/>
        <w:rPr>
          <w:rFonts w:ascii="宋体" w:hAnsi="宋体"/>
        </w:rPr>
      </w:pPr>
      <w:r>
        <w:rPr>
          <w:rFonts w:hint="eastAsia" w:ascii="宋体" w:hAnsi="宋体"/>
        </w:rPr>
        <w:t>1．教材</w:t>
      </w:r>
    </w:p>
    <w:p>
      <w:pPr>
        <w:spacing w:line="300" w:lineRule="auto"/>
        <w:ind w:firstLine="420" w:firstLineChars="200"/>
        <w:rPr>
          <w:rFonts w:ascii="宋体" w:hAnsi="宋体"/>
        </w:rPr>
      </w:pPr>
      <w:r>
        <w:rPr>
          <w:rFonts w:hint="eastAsia" w:ascii="宋体" w:hAnsi="宋体"/>
        </w:rPr>
        <w:t>教材和讲义优先选用自编校本教材，自编校本教材不仅是高职院校教材的补充，还是高职院校自身教学特色的一种体现，本专业已拥有一定数量特色鲜明、有较高水平的自编校本教材及讲义。</w:t>
      </w:r>
    </w:p>
    <w:p>
      <w:pPr>
        <w:spacing w:line="300" w:lineRule="auto"/>
        <w:ind w:firstLine="420" w:firstLineChars="200"/>
        <w:rPr>
          <w:rFonts w:ascii="宋体" w:hAnsi="宋体"/>
        </w:rPr>
      </w:pPr>
      <w:r>
        <w:rPr>
          <w:rFonts w:hint="eastAsia" w:ascii="宋体" w:hAnsi="宋体"/>
        </w:rPr>
        <w:t>除自编校本教材外，还可选用反映计算机网络技术最新发展水平、特色鲜明，并能够满足高等职业教育培养目标要求的规划教材，并尽量选用近三年出版的高职高专教材。</w:t>
      </w:r>
    </w:p>
    <w:p>
      <w:pPr>
        <w:spacing w:line="300" w:lineRule="auto"/>
        <w:ind w:firstLine="420" w:firstLineChars="200"/>
        <w:rPr>
          <w:rFonts w:ascii="宋体" w:hAnsi="宋体"/>
        </w:rPr>
      </w:pPr>
      <w:bookmarkStart w:id="15" w:name="_Toc385369455"/>
      <w:bookmarkStart w:id="16" w:name="_Toc376368480"/>
      <w:bookmarkStart w:id="17" w:name="_Toc378099355"/>
      <w:bookmarkStart w:id="18" w:name="_Toc377456221"/>
      <w:bookmarkStart w:id="19" w:name="_Toc378165379"/>
      <w:r>
        <w:rPr>
          <w:rFonts w:hint="eastAsia" w:ascii="宋体" w:hAnsi="宋体"/>
        </w:rPr>
        <w:t>2.教学资源</w:t>
      </w:r>
      <w:bookmarkEnd w:id="15"/>
      <w:bookmarkEnd w:id="16"/>
      <w:bookmarkEnd w:id="17"/>
      <w:bookmarkEnd w:id="18"/>
      <w:bookmarkEnd w:id="19"/>
    </w:p>
    <w:p>
      <w:pPr>
        <w:spacing w:line="300" w:lineRule="auto"/>
        <w:ind w:firstLine="420" w:firstLineChars="200"/>
        <w:rPr>
          <w:rFonts w:ascii="宋体" w:hAnsi="宋体"/>
        </w:rPr>
      </w:pPr>
      <w:bookmarkStart w:id="20" w:name="_Toc378165380"/>
      <w:r>
        <w:rPr>
          <w:rFonts w:hint="eastAsia" w:ascii="宋体" w:hAnsi="宋体"/>
        </w:rPr>
        <w:t>（1）专业信息库</w:t>
      </w:r>
      <w:bookmarkEnd w:id="20"/>
    </w:p>
    <w:p>
      <w:pPr>
        <w:spacing w:line="300" w:lineRule="auto"/>
        <w:ind w:firstLine="420" w:firstLineChars="200"/>
        <w:rPr>
          <w:rFonts w:ascii="宋体" w:hAnsi="宋体"/>
        </w:rPr>
      </w:pPr>
      <w:r>
        <w:rPr>
          <w:rFonts w:hint="eastAsia" w:ascii="宋体" w:hAnsi="宋体"/>
        </w:rPr>
        <w:t>包括：专业概况、对接的产业概况、专业建设、人才培养、质量评估、建设成果。</w:t>
      </w:r>
    </w:p>
    <w:p>
      <w:pPr>
        <w:spacing w:line="300" w:lineRule="auto"/>
        <w:ind w:firstLine="420" w:firstLineChars="200"/>
        <w:rPr>
          <w:rFonts w:ascii="宋体" w:hAnsi="宋体"/>
        </w:rPr>
      </w:pPr>
      <w:bookmarkStart w:id="21" w:name="_Toc378165381"/>
      <w:r>
        <w:rPr>
          <w:rFonts w:hint="eastAsia" w:ascii="宋体" w:hAnsi="宋体"/>
        </w:rPr>
        <w:t>（2）课程资源</w:t>
      </w:r>
      <w:bookmarkEnd w:id="21"/>
    </w:p>
    <w:p>
      <w:pPr>
        <w:spacing w:line="300" w:lineRule="auto"/>
        <w:ind w:firstLine="420" w:firstLineChars="200"/>
        <w:rPr>
          <w:rFonts w:ascii="宋体" w:hAnsi="宋体"/>
        </w:rPr>
      </w:pPr>
      <w:r>
        <w:rPr>
          <w:rFonts w:hint="eastAsia" w:ascii="宋体" w:hAnsi="宋体"/>
        </w:rPr>
        <w:t>包括：课程简介、课程标准、教学设计（整体设计、单元设计、项目设计）、说课录像、授课录像、积件学习、素材资源（电子教材、电子课件、参考资料、习题试题库、任务单、项目指导书、学生作品等）。</w:t>
      </w:r>
    </w:p>
    <w:p>
      <w:pPr>
        <w:spacing w:line="300" w:lineRule="auto"/>
        <w:ind w:firstLine="420" w:firstLineChars="200"/>
        <w:rPr>
          <w:rFonts w:ascii="宋体" w:hAnsi="宋体"/>
        </w:rPr>
      </w:pPr>
      <w:bookmarkStart w:id="22" w:name="_Toc378165382"/>
      <w:r>
        <w:rPr>
          <w:rFonts w:hint="eastAsia" w:ascii="宋体" w:hAnsi="宋体"/>
        </w:rPr>
        <w:t>（3）教学案例库</w:t>
      </w:r>
      <w:bookmarkEnd w:id="22"/>
    </w:p>
    <w:p>
      <w:pPr>
        <w:spacing w:line="300" w:lineRule="auto"/>
        <w:ind w:firstLine="420" w:firstLineChars="200"/>
        <w:rPr>
          <w:rFonts w:ascii="宋体" w:hAnsi="宋体"/>
        </w:rPr>
      </w:pPr>
      <w:r>
        <w:rPr>
          <w:rFonts w:hint="eastAsia" w:ascii="宋体" w:hAnsi="宋体"/>
        </w:rPr>
        <w:t>包括：课程案例、项目案例、学生作品。</w:t>
      </w:r>
    </w:p>
    <w:p>
      <w:pPr>
        <w:spacing w:line="300" w:lineRule="auto"/>
        <w:ind w:firstLine="420" w:firstLineChars="200"/>
        <w:rPr>
          <w:rFonts w:ascii="宋体" w:hAnsi="宋体"/>
        </w:rPr>
      </w:pPr>
      <w:bookmarkStart w:id="23" w:name="_Toc378165383"/>
      <w:r>
        <w:rPr>
          <w:rFonts w:hint="eastAsia" w:ascii="宋体" w:hAnsi="宋体"/>
        </w:rPr>
        <w:t>（4）专业工具库</w:t>
      </w:r>
      <w:bookmarkEnd w:id="23"/>
    </w:p>
    <w:p>
      <w:pPr>
        <w:spacing w:line="300" w:lineRule="auto"/>
        <w:ind w:firstLine="420" w:firstLineChars="200"/>
        <w:rPr>
          <w:rFonts w:ascii="宋体" w:hAnsi="宋体"/>
        </w:rPr>
      </w:pPr>
      <w:r>
        <w:rPr>
          <w:rFonts w:hint="eastAsia" w:ascii="宋体" w:hAnsi="宋体"/>
        </w:rPr>
        <w:t>包括：代码库、组件与控件库、网页模板库、图形图像库、功能插件库、工具使用手册库、函数库、音频库。</w:t>
      </w:r>
    </w:p>
    <w:p>
      <w:pPr>
        <w:spacing w:line="300" w:lineRule="auto"/>
        <w:ind w:firstLine="420" w:firstLineChars="200"/>
        <w:rPr>
          <w:rFonts w:ascii="宋体" w:hAnsi="宋体"/>
        </w:rPr>
      </w:pPr>
      <w:bookmarkStart w:id="24" w:name="_Toc378165384"/>
      <w:r>
        <w:rPr>
          <w:rFonts w:hint="eastAsia" w:ascii="宋体" w:hAnsi="宋体"/>
        </w:rPr>
        <w:t>（5）培训资源库</w:t>
      </w:r>
      <w:bookmarkEnd w:id="24"/>
    </w:p>
    <w:p>
      <w:pPr>
        <w:spacing w:line="300" w:lineRule="auto"/>
        <w:ind w:firstLine="420" w:firstLineChars="200"/>
        <w:rPr>
          <w:rFonts w:ascii="宋体" w:hAnsi="宋体"/>
        </w:rPr>
      </w:pPr>
      <w:r>
        <w:rPr>
          <w:rFonts w:hint="eastAsia" w:ascii="宋体" w:hAnsi="宋体"/>
        </w:rPr>
        <w:t>包括：行业企业证书和培训、师资培训、职业资格培训、学生竞赛培训、社会服务与对外交流。</w:t>
      </w:r>
    </w:p>
    <w:p>
      <w:pPr>
        <w:spacing w:line="300" w:lineRule="auto"/>
        <w:ind w:firstLine="420" w:firstLineChars="200"/>
        <w:rPr>
          <w:rFonts w:ascii="宋体" w:hAnsi="宋体"/>
        </w:rPr>
      </w:pPr>
      <w:bookmarkStart w:id="25" w:name="_Toc378165385"/>
      <w:r>
        <w:rPr>
          <w:rFonts w:hint="eastAsia" w:ascii="宋体" w:hAnsi="宋体"/>
        </w:rPr>
        <w:t>（6）行企资源库</w:t>
      </w:r>
      <w:bookmarkEnd w:id="25"/>
    </w:p>
    <w:p>
      <w:pPr>
        <w:spacing w:line="300" w:lineRule="auto"/>
        <w:ind w:firstLine="420" w:firstLineChars="200"/>
        <w:rPr>
          <w:rFonts w:ascii="宋体" w:hAnsi="宋体"/>
        </w:rPr>
      </w:pPr>
      <w:r>
        <w:rPr>
          <w:rFonts w:hint="eastAsia" w:ascii="宋体" w:hAnsi="宋体"/>
        </w:rPr>
        <w:t>包括：行业概况、技术前沿、行业相关岗位描述、合作企业信息及企业真实案例、政策法规、标准规范。</w:t>
      </w:r>
    </w:p>
    <w:p>
      <w:pPr>
        <w:overflowPunct w:val="0"/>
        <w:adjustRightInd w:val="0"/>
        <w:spacing w:line="360" w:lineRule="auto"/>
        <w:ind w:firstLine="422" w:firstLineChars="200"/>
        <w:outlineLvl w:val="0"/>
        <w:rPr>
          <w:rFonts w:ascii="宋体" w:hAnsi="宋体" w:cs="楷体"/>
          <w:b/>
          <w:szCs w:val="21"/>
        </w:rPr>
      </w:pPr>
      <w:r>
        <w:rPr>
          <w:rFonts w:hint="eastAsia" w:ascii="宋体" w:hAnsi="宋体" w:cs="楷体"/>
          <w:b/>
          <w:szCs w:val="21"/>
        </w:rPr>
        <w:t>（四）教学方法</w:t>
      </w:r>
    </w:p>
    <w:p>
      <w:pPr>
        <w:spacing w:line="360" w:lineRule="auto"/>
        <w:ind w:firstLine="440"/>
        <w:rPr>
          <w:rFonts w:ascii="宋体" w:hAnsi="宋体" w:cs="楷体"/>
          <w:color w:val="000000"/>
          <w:szCs w:val="21"/>
        </w:rPr>
      </w:pPr>
      <w:r>
        <w:rPr>
          <w:rFonts w:hint="eastAsia" w:ascii="宋体" w:hAnsi="宋体" w:cs="楷体"/>
          <w:color w:val="000000"/>
          <w:szCs w:val="21"/>
        </w:rPr>
        <w:t>教师应依据专业培养目标、课程教学要求、学生学习基础、教学资源等，采用适采用理实一体化教学、案例教学、项目教学等方法，以达成预期教学目标。坚持学中做、做中学，倡导因材施教、因需施教，鼓励创新教学方法和策略。鼓励信息化技术在教育教学中的应用，改进教学方式。具体要求如下：</w:t>
      </w:r>
    </w:p>
    <w:p>
      <w:pPr>
        <w:spacing w:line="360" w:lineRule="auto"/>
        <w:ind w:firstLine="440"/>
        <w:rPr>
          <w:rFonts w:ascii="宋体" w:hAnsi="宋体" w:cs="楷体"/>
          <w:color w:val="000000"/>
          <w:szCs w:val="21"/>
        </w:rPr>
      </w:pPr>
      <w:r>
        <w:rPr>
          <w:rFonts w:hint="eastAsia" w:ascii="宋体" w:hAnsi="宋体" w:cs="楷体"/>
          <w:color w:val="000000"/>
          <w:szCs w:val="21"/>
        </w:rPr>
        <w:t>1.</w:t>
      </w:r>
      <w:r>
        <w:rPr>
          <w:rFonts w:ascii="宋体" w:hAnsi="宋体" w:cs="楷体"/>
          <w:color w:val="000000"/>
          <w:szCs w:val="21"/>
        </w:rPr>
        <w:t>贯彻任务引领的教学理念，密切联系</w:t>
      </w:r>
      <w:r>
        <w:rPr>
          <w:rFonts w:hint="eastAsia" w:ascii="宋体" w:hAnsi="宋体" w:cs="楷体"/>
          <w:color w:val="000000"/>
          <w:szCs w:val="21"/>
        </w:rPr>
        <w:t>大数据</w:t>
      </w:r>
      <w:r>
        <w:rPr>
          <w:rFonts w:ascii="宋体" w:hAnsi="宋体" w:cs="楷体"/>
          <w:color w:val="000000"/>
          <w:szCs w:val="21"/>
        </w:rPr>
        <w:t>工作实际，采用项目教学，注重学生实际操作能力培养，提高学生的学习积极性。</w:t>
      </w:r>
    </w:p>
    <w:p>
      <w:pPr>
        <w:spacing w:line="360" w:lineRule="auto"/>
        <w:ind w:firstLine="440"/>
        <w:rPr>
          <w:rFonts w:ascii="宋体" w:hAnsi="宋体" w:cs="楷体"/>
          <w:color w:val="000000"/>
          <w:szCs w:val="21"/>
        </w:rPr>
      </w:pPr>
      <w:r>
        <w:rPr>
          <w:rFonts w:hint="eastAsia" w:ascii="宋体" w:hAnsi="宋体" w:cs="楷体"/>
          <w:color w:val="000000"/>
          <w:szCs w:val="21"/>
        </w:rPr>
        <w:t>2.</w:t>
      </w:r>
      <w:r>
        <w:rPr>
          <w:rFonts w:ascii="宋体" w:hAnsi="宋体" w:cs="楷体"/>
          <w:color w:val="000000"/>
          <w:szCs w:val="21"/>
        </w:rPr>
        <w:t>创设与</w:t>
      </w:r>
      <w:r>
        <w:rPr>
          <w:rFonts w:hint="eastAsia" w:ascii="宋体" w:hAnsi="宋体" w:cs="楷体"/>
          <w:color w:val="000000"/>
          <w:szCs w:val="21"/>
        </w:rPr>
        <w:t>大数据</w:t>
      </w:r>
      <w:r>
        <w:rPr>
          <w:rFonts w:ascii="宋体" w:hAnsi="宋体" w:cs="楷体"/>
          <w:color w:val="000000"/>
          <w:szCs w:val="21"/>
        </w:rPr>
        <w:t>工作实际贴近的工作情景，以完成工作任务为主线，以学生为主体，以教师为主导，做中学，做中练，充分发挥学生的主观能动性。</w:t>
      </w:r>
    </w:p>
    <w:p>
      <w:pPr>
        <w:spacing w:line="360" w:lineRule="auto"/>
        <w:ind w:firstLine="440"/>
        <w:rPr>
          <w:rFonts w:ascii="宋体" w:hAnsi="宋体" w:cs="楷体"/>
          <w:color w:val="000000"/>
          <w:szCs w:val="21"/>
        </w:rPr>
      </w:pPr>
      <w:r>
        <w:rPr>
          <w:rFonts w:hint="eastAsia" w:ascii="宋体" w:hAnsi="宋体" w:cs="楷体"/>
          <w:color w:val="000000"/>
          <w:szCs w:val="21"/>
        </w:rPr>
        <w:t>3.建立企业工作坊，通过校企合作，让学生参加到实际的项目开发中，为步入职场做好铺垫。</w:t>
      </w:r>
    </w:p>
    <w:p>
      <w:pPr>
        <w:spacing w:line="360" w:lineRule="auto"/>
        <w:ind w:firstLine="440"/>
        <w:rPr>
          <w:rFonts w:ascii="宋体" w:hAnsi="宋体" w:cs="楷体"/>
          <w:color w:val="000000"/>
          <w:szCs w:val="21"/>
        </w:rPr>
      </w:pPr>
      <w:r>
        <w:rPr>
          <w:rFonts w:hint="eastAsia" w:ascii="宋体" w:hAnsi="宋体" w:cs="楷体"/>
          <w:color w:val="000000"/>
          <w:szCs w:val="21"/>
        </w:rPr>
        <w:t>4.</w:t>
      </w:r>
      <w:r>
        <w:rPr>
          <w:rFonts w:ascii="宋体" w:hAnsi="宋体" w:cs="楷体"/>
          <w:color w:val="000000"/>
          <w:szCs w:val="21"/>
        </w:rPr>
        <w:t>技能训练围绕职业功能与综合职业能力展开，在以职业功能为模块，开展项目式教学的同时，开展综合实践训练，强化岗位技能与综合职业能力。</w:t>
      </w:r>
    </w:p>
    <w:p>
      <w:pPr>
        <w:spacing w:line="360" w:lineRule="auto"/>
        <w:ind w:firstLine="440"/>
        <w:rPr>
          <w:rFonts w:ascii="宋体" w:hAnsi="宋体" w:cs="楷体"/>
          <w:color w:val="000000"/>
          <w:szCs w:val="21"/>
        </w:rPr>
      </w:pPr>
      <w:r>
        <w:rPr>
          <w:rFonts w:hint="eastAsia" w:ascii="宋体" w:hAnsi="宋体" w:cs="楷体"/>
          <w:color w:val="000000"/>
          <w:szCs w:val="21"/>
        </w:rPr>
        <w:t>5.</w:t>
      </w:r>
      <w:r>
        <w:rPr>
          <w:rFonts w:ascii="宋体" w:hAnsi="宋体" w:cs="楷体"/>
          <w:color w:val="000000"/>
          <w:szCs w:val="21"/>
        </w:rPr>
        <w:t>充分利用实物、投影仪、多媒体课件等多种教学手段进行辅助教学，帮助学生理解相关理论知识。</w:t>
      </w:r>
    </w:p>
    <w:p>
      <w:pPr>
        <w:overflowPunct w:val="0"/>
        <w:adjustRightInd w:val="0"/>
        <w:spacing w:line="360" w:lineRule="auto"/>
        <w:ind w:firstLine="422" w:firstLineChars="200"/>
        <w:outlineLvl w:val="0"/>
        <w:rPr>
          <w:rFonts w:ascii="宋体" w:hAnsi="宋体" w:cs="楷体"/>
          <w:b/>
          <w:szCs w:val="21"/>
        </w:rPr>
      </w:pPr>
      <w:r>
        <w:rPr>
          <w:rFonts w:hint="eastAsia" w:ascii="宋体" w:hAnsi="宋体" w:cs="楷体"/>
          <w:b/>
          <w:szCs w:val="21"/>
        </w:rPr>
        <w:t>（五）学习评价</w:t>
      </w:r>
    </w:p>
    <w:p>
      <w:pPr>
        <w:spacing w:line="360" w:lineRule="auto"/>
        <w:ind w:firstLine="440"/>
        <w:rPr>
          <w:rFonts w:ascii="宋体" w:hAnsi="宋体" w:cs="楷体"/>
          <w:color w:val="000000"/>
          <w:szCs w:val="21"/>
        </w:rPr>
      </w:pPr>
      <w:r>
        <w:rPr>
          <w:rFonts w:ascii="宋体" w:hAnsi="宋体" w:cs="楷体"/>
          <w:color w:val="000000"/>
          <w:szCs w:val="21"/>
        </w:rPr>
        <w:t>1．教学评价应以企业用人标准为主要评价标准，包括用人单位对毕业生的综合评价，行业企业对实习顶岗学生的知、能、素评价，社会对专业的认可度评价，学生专业技能认证水平和职业资格通过率的评价等。辅助以兼职教师对学生实践能力的评价，教学督导对教学过程组织实施的评价，教师对教学效果的评价，学生对教学团队教学能力的评价，专业技能竞赛参赛成绩的评价等。</w:t>
      </w:r>
    </w:p>
    <w:p>
      <w:pPr>
        <w:spacing w:line="360" w:lineRule="auto"/>
        <w:ind w:firstLine="440"/>
        <w:rPr>
          <w:rFonts w:ascii="宋体" w:hAnsi="宋体" w:cs="楷体"/>
          <w:color w:val="000000"/>
          <w:szCs w:val="21"/>
        </w:rPr>
      </w:pPr>
      <w:r>
        <w:rPr>
          <w:rFonts w:ascii="宋体" w:hAnsi="宋体" w:cs="楷体"/>
          <w:color w:val="000000"/>
          <w:szCs w:val="21"/>
        </w:rPr>
        <w:t xml:space="preserve">2．建立多元评价机制，除了教师评价、小组互评、自评外，增加企业评价。  </w:t>
      </w:r>
    </w:p>
    <w:p>
      <w:pPr>
        <w:spacing w:line="360" w:lineRule="auto"/>
        <w:ind w:firstLine="440"/>
        <w:rPr>
          <w:rFonts w:ascii="宋体" w:hAnsi="宋体" w:cs="楷体"/>
          <w:color w:val="000000"/>
          <w:szCs w:val="21"/>
        </w:rPr>
      </w:pPr>
      <w:r>
        <w:rPr>
          <w:rFonts w:ascii="宋体" w:hAnsi="宋体" w:cs="楷体"/>
          <w:color w:val="000000"/>
          <w:szCs w:val="21"/>
        </w:rPr>
        <w:t>3．评价内容可包括学生学习态度和职业道德素养、理论知识和实践动手能力、分析解决问题和团队协作能力等综合评价。</w:t>
      </w:r>
    </w:p>
    <w:p>
      <w:pPr>
        <w:spacing w:line="360" w:lineRule="auto"/>
        <w:ind w:firstLine="440"/>
        <w:rPr>
          <w:rFonts w:ascii="宋体" w:hAnsi="宋体" w:cs="楷体"/>
          <w:color w:val="000000"/>
          <w:szCs w:val="21"/>
        </w:rPr>
      </w:pPr>
      <w:r>
        <w:rPr>
          <w:rFonts w:ascii="宋体" w:hAnsi="宋体" w:cs="楷体"/>
          <w:color w:val="000000"/>
          <w:szCs w:val="21"/>
        </w:rPr>
        <w:t xml:space="preserve">4．评价方式书面与口头相结合、课内与课外相结合、结果与过程相结合，形成终结性评价为主，形成性评价为辅的评价体系。   </w:t>
      </w:r>
    </w:p>
    <w:p>
      <w:pPr>
        <w:spacing w:line="360" w:lineRule="auto"/>
        <w:ind w:firstLine="440"/>
        <w:rPr>
          <w:rFonts w:ascii="宋体" w:hAnsi="宋体" w:cs="楷体"/>
          <w:color w:val="000000"/>
          <w:szCs w:val="21"/>
        </w:rPr>
      </w:pPr>
      <w:r>
        <w:rPr>
          <w:rFonts w:ascii="宋体" w:hAnsi="宋体" w:cs="楷体"/>
          <w:color w:val="000000"/>
          <w:szCs w:val="21"/>
        </w:rPr>
        <w:t>5．注重课程评价与职业技能</w:t>
      </w:r>
      <w:r>
        <w:rPr>
          <w:rFonts w:hint="eastAsia" w:ascii="宋体" w:hAnsi="宋体" w:cs="楷体"/>
          <w:color w:val="000000"/>
          <w:szCs w:val="21"/>
        </w:rPr>
        <w:t>鉴定</w:t>
      </w:r>
      <w:r>
        <w:rPr>
          <w:rFonts w:ascii="宋体" w:hAnsi="宋体" w:cs="楷体"/>
          <w:color w:val="000000"/>
          <w:szCs w:val="21"/>
        </w:rPr>
        <w:t>的衔接。</w:t>
      </w:r>
    </w:p>
    <w:p>
      <w:pPr>
        <w:overflowPunct w:val="0"/>
        <w:adjustRightInd w:val="0"/>
        <w:spacing w:line="360" w:lineRule="auto"/>
        <w:ind w:firstLine="422" w:firstLineChars="200"/>
        <w:outlineLvl w:val="0"/>
        <w:rPr>
          <w:rFonts w:ascii="宋体" w:hAnsi="宋体" w:cs="楷体"/>
          <w:b/>
          <w:szCs w:val="21"/>
        </w:rPr>
      </w:pPr>
      <w:r>
        <w:rPr>
          <w:rFonts w:hint="eastAsia" w:ascii="宋体" w:hAnsi="宋体" w:cs="楷体"/>
          <w:b/>
          <w:szCs w:val="21"/>
        </w:rPr>
        <w:t>（六）质量管理</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1. 制度保障</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在“计算机网络技术专业建设指导委员会”指导下，成立“教学质量监控工作小组”和二级教学督导组，构建人才培养质量监控与保障体系。</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通信与信息工程学院制定《教师工作室管理办法》、《兼职教师对接工作要求（暂行）》、《教学检查制度》、《教师听课制度》、《教学质量信息反馈制度》、《毕业生跟踪调查制度》等。</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在与合作企业联合成立工作室，签订校企合作协议基础上，成立工作室委员会，并制定章程，共同制定《工作室日常考核制度》、《学生工作室管理制度》、《学员日常行为规范》、《学生工作室学分置换办法》、《工作室宣传部管理办法》、《工作室微信管理办法》、《工作室行政部管理办法》等，形成了工作室长效运行机制。</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2. 质量监控</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为确保人才培养质量，学院建立质量监控体系。质量监控包括人才培养目标监控、人才培养方案和教学大纲监控、教学过程监控、学生信息反馈、教材质量监控。</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（1）人才培养目标监控。通过行业</w:t>
      </w:r>
      <w:r>
        <w:rPr>
          <w:rFonts w:ascii="宋体" w:hAnsi="宋体" w:cs="楷体"/>
          <w:szCs w:val="21"/>
        </w:rPr>
        <w:t>、</w:t>
      </w:r>
      <w:r>
        <w:rPr>
          <w:rFonts w:hint="eastAsia" w:ascii="宋体" w:hAnsi="宋体" w:cs="楷体"/>
          <w:szCs w:val="21"/>
        </w:rPr>
        <w:t>企业调研和评估，及时跟踪人才培养效果，不断完善人才培养模式，确保专业人才培养目标适应社会发展需要。</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（2）人才培养方案和教学大纲制订与执行监控。人才培养方案和教学大纲是组织和实施人才培养工作的核心教学文件，也是开展教学工作和对教学工作监控与评估的主要依据。</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（3）教学过程监控。主要通过听课、教学检查、教学督导、学生评教、教师评学、考试等实现监控目的。</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（4）学生信息反馈。建立学生教学信息员制度，定期召开院系两级学生座谈会。</w:t>
      </w:r>
    </w:p>
    <w:p>
      <w:pPr>
        <w:overflowPunct w:val="0"/>
        <w:adjustRightInd w:val="0"/>
        <w:spacing w:line="360" w:lineRule="auto"/>
        <w:ind w:firstLine="420" w:firstLineChars="200"/>
        <w:rPr>
          <w:rFonts w:ascii="宋体" w:hAnsi="宋体" w:cs="楷体"/>
          <w:szCs w:val="21"/>
        </w:rPr>
      </w:pPr>
      <w:r>
        <w:rPr>
          <w:rFonts w:hint="eastAsia" w:ascii="宋体" w:hAnsi="宋体" w:cs="楷体"/>
          <w:szCs w:val="21"/>
        </w:rPr>
        <w:t>（5）教材质量监控。学院建立教材招标工作组，采用教材三级审核制：教研室申报、教学单位审核、教务处审定。</w:t>
      </w:r>
    </w:p>
    <w:p>
      <w:pPr>
        <w:overflowPunct w:val="0"/>
        <w:adjustRightInd w:val="0"/>
        <w:spacing w:line="360" w:lineRule="auto"/>
        <w:ind w:firstLine="480" w:firstLineChars="200"/>
        <w:rPr>
          <w:rFonts w:ascii="楷体" w:hAnsi="楷体" w:eastAsia="楷体" w:cs="楷体"/>
          <w:sz w:val="24"/>
          <w:szCs w:val="24"/>
        </w:rPr>
      </w:pPr>
      <w:r>
        <w:rPr>
          <w:rFonts w:hint="eastAsia" w:eastAsia="黑体"/>
          <w:sz w:val="24"/>
          <w:szCs w:val="24"/>
        </w:rPr>
        <w:t>九、毕业要求</w:t>
      </w:r>
    </w:p>
    <w:p>
      <w:pPr>
        <w:spacing w:line="360" w:lineRule="auto"/>
        <w:ind w:firstLine="420" w:firstLineChars="200"/>
      </w:pPr>
      <w:r>
        <w:rPr>
          <w:rFonts w:hint="eastAsia"/>
        </w:rPr>
        <w:t>要求学生修满专业人才培养方案所规定的学分并取得相应的职业资格证书或技能等级证书，达到本专业人才培养目标和培养规格的要求才可授予毕业证书。</w:t>
      </w:r>
    </w:p>
    <w:p>
      <w:pPr>
        <w:overflowPunct w:val="0"/>
        <w:adjustRightInd w:val="0"/>
        <w:ind w:firstLine="420" w:firstLineChars="200"/>
        <w:outlineLvl w:val="0"/>
        <w:rPr>
          <w:rFonts w:ascii="宋体" w:hAnsi="宋体" w:cs="宋体"/>
          <w:szCs w:val="21"/>
        </w:rPr>
      </w:pPr>
      <w:r>
        <w:rPr>
          <w:rFonts w:hint="eastAsia" w:ascii="宋体" w:hAnsi="宋体" w:cs="宋体"/>
          <w:szCs w:val="21"/>
        </w:rPr>
        <w:t>与本专业对接的可供选择的职业技能等级证书见表7所示，未来积极参与专业相关的1+X证书制度试点。</w:t>
      </w:r>
    </w:p>
    <w:p>
      <w:pPr>
        <w:overflowPunct w:val="0"/>
        <w:adjustRightInd w:val="0"/>
        <w:ind w:firstLine="420" w:firstLineChars="200"/>
        <w:outlineLvl w:val="0"/>
        <w:rPr>
          <w:rFonts w:ascii="宋体" w:hAnsi="宋体" w:cs="宋体"/>
          <w:szCs w:val="21"/>
        </w:rPr>
      </w:pPr>
    </w:p>
    <w:p>
      <w:pPr>
        <w:overflowPunct w:val="0"/>
        <w:adjustRightInd w:val="0"/>
        <w:ind w:firstLine="420" w:firstLineChars="200"/>
        <w:outlineLvl w:val="0"/>
        <w:rPr>
          <w:rFonts w:ascii="宋体" w:hAnsi="宋体" w:cs="宋体"/>
          <w:szCs w:val="21"/>
        </w:rPr>
      </w:pPr>
    </w:p>
    <w:p>
      <w:pPr>
        <w:overflowPunct w:val="0"/>
        <w:adjustRightInd w:val="0"/>
        <w:ind w:firstLine="420" w:firstLineChars="200"/>
        <w:outlineLvl w:val="0"/>
        <w:rPr>
          <w:rFonts w:ascii="宋体" w:hAnsi="宋体" w:cs="宋体"/>
          <w:szCs w:val="21"/>
        </w:rPr>
      </w:pPr>
    </w:p>
    <w:p>
      <w:pPr>
        <w:overflowPunct w:val="0"/>
        <w:adjustRightInd w:val="0"/>
        <w:ind w:firstLine="420" w:firstLineChars="200"/>
        <w:outlineLvl w:val="0"/>
        <w:rPr>
          <w:rFonts w:ascii="宋体" w:hAnsi="宋体" w:cs="宋体"/>
          <w:szCs w:val="21"/>
        </w:rPr>
      </w:pPr>
    </w:p>
    <w:p>
      <w:pPr>
        <w:overflowPunct w:val="0"/>
        <w:adjustRightInd w:val="0"/>
        <w:ind w:firstLine="420" w:firstLineChars="200"/>
        <w:outlineLvl w:val="0"/>
        <w:rPr>
          <w:rFonts w:ascii="宋体" w:hAnsi="宋体" w:cs="宋体"/>
          <w:szCs w:val="21"/>
        </w:rPr>
      </w:pPr>
    </w:p>
    <w:p>
      <w:pPr>
        <w:spacing w:beforeLines="50" w:afterLines="50"/>
        <w:jc w:val="center"/>
        <w:rPr>
          <w:rFonts w:ascii="仿宋" w:hAnsi="仿宋" w:eastAsia="仿宋" w:cs="仿宋"/>
          <w:b/>
          <w:bCs/>
          <w:szCs w:val="22"/>
        </w:rPr>
      </w:pPr>
      <w:r>
        <w:rPr>
          <w:rFonts w:hint="eastAsia" w:ascii="仿宋" w:hAnsi="仿宋" w:eastAsia="仿宋" w:cs="仿宋"/>
          <w:b/>
          <w:bCs/>
          <w:szCs w:val="22"/>
        </w:rPr>
        <w:t>表7 职业技能等级证书一览表</w:t>
      </w:r>
    </w:p>
    <w:tbl>
      <w:tblPr>
        <w:tblStyle w:val="5"/>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312"/>
        <w:gridCol w:w="2100"/>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pacing w:line="276" w:lineRule="auto"/>
              <w:jc w:val="center"/>
              <w:rPr>
                <w:rFonts w:ascii="宋体" w:hAnsi="宋体"/>
                <w:b/>
                <w:bCs/>
                <w:szCs w:val="21"/>
              </w:rPr>
            </w:pPr>
            <w:r>
              <w:rPr>
                <w:rFonts w:ascii="宋体" w:hAnsi="宋体"/>
                <w:b/>
                <w:bCs/>
                <w:szCs w:val="21"/>
              </w:rPr>
              <w:t>序号</w:t>
            </w:r>
          </w:p>
        </w:tc>
        <w:tc>
          <w:tcPr>
            <w:tcW w:w="3312" w:type="dxa"/>
            <w:vAlign w:val="center"/>
          </w:tcPr>
          <w:p>
            <w:pPr>
              <w:spacing w:line="276" w:lineRule="auto"/>
              <w:jc w:val="center"/>
              <w:rPr>
                <w:rFonts w:ascii="宋体" w:hAnsi="宋体"/>
                <w:b/>
                <w:bCs/>
                <w:szCs w:val="21"/>
              </w:rPr>
            </w:pPr>
            <w:r>
              <w:rPr>
                <w:rFonts w:ascii="宋体" w:hAnsi="宋体"/>
                <w:b/>
                <w:bCs/>
                <w:szCs w:val="21"/>
              </w:rPr>
              <w:t>职业</w:t>
            </w:r>
            <w:r>
              <w:rPr>
                <w:rFonts w:hint="eastAsia" w:ascii="宋体" w:hAnsi="宋体"/>
                <w:b/>
                <w:bCs/>
                <w:szCs w:val="21"/>
              </w:rPr>
              <w:t>技能等级</w:t>
            </w:r>
            <w:r>
              <w:rPr>
                <w:rFonts w:ascii="宋体" w:hAnsi="宋体"/>
                <w:b/>
                <w:bCs/>
                <w:szCs w:val="21"/>
              </w:rPr>
              <w:t>证书名称</w:t>
            </w:r>
          </w:p>
        </w:tc>
        <w:tc>
          <w:tcPr>
            <w:tcW w:w="2100" w:type="dxa"/>
            <w:vAlign w:val="center"/>
          </w:tcPr>
          <w:p>
            <w:pPr>
              <w:spacing w:line="276" w:lineRule="auto"/>
              <w:jc w:val="center"/>
              <w:rPr>
                <w:rFonts w:ascii="宋体" w:hAnsi="宋体"/>
                <w:b/>
                <w:bCs/>
                <w:szCs w:val="21"/>
              </w:rPr>
            </w:pPr>
            <w:r>
              <w:rPr>
                <w:rFonts w:ascii="宋体" w:hAnsi="宋体"/>
                <w:b/>
                <w:bCs/>
                <w:szCs w:val="21"/>
              </w:rPr>
              <w:t>颁证单位</w:t>
            </w:r>
          </w:p>
        </w:tc>
        <w:tc>
          <w:tcPr>
            <w:tcW w:w="1491" w:type="dxa"/>
            <w:vAlign w:val="center"/>
          </w:tcPr>
          <w:p>
            <w:pPr>
              <w:spacing w:line="276" w:lineRule="auto"/>
              <w:jc w:val="center"/>
              <w:rPr>
                <w:rFonts w:ascii="宋体" w:hAnsi="宋体"/>
                <w:b/>
                <w:bCs/>
                <w:szCs w:val="21"/>
              </w:rPr>
            </w:pPr>
            <w:r>
              <w:rPr>
                <w:rFonts w:hint="eastAsia" w:ascii="宋体" w:hAnsi="宋体"/>
                <w:b/>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rFonts w:ascii="宋体" w:hAnsi="宋体"/>
                <w:szCs w:val="21"/>
              </w:rPr>
            </w:pPr>
            <w:r>
              <w:rPr>
                <w:rFonts w:ascii="宋体" w:hAnsi="宋体"/>
                <w:szCs w:val="21"/>
              </w:rPr>
              <w:t>1</w:t>
            </w:r>
          </w:p>
        </w:tc>
        <w:tc>
          <w:tcPr>
            <w:tcW w:w="3312" w:type="dxa"/>
            <w:vAlign w:val="center"/>
          </w:tcPr>
          <w:p>
            <w:pPr>
              <w:jc w:val="left"/>
              <w:rPr>
                <w:rFonts w:ascii="宋体" w:hAnsi="宋体"/>
                <w:szCs w:val="21"/>
              </w:rPr>
            </w:pPr>
            <w:r>
              <w:rPr>
                <w:rFonts w:hint="eastAsia"/>
                <w:szCs w:val="21"/>
              </w:rPr>
              <w:t>1+X证书-网络系统建设与运维职业技能等级证书(中级)</w:t>
            </w:r>
          </w:p>
        </w:tc>
        <w:tc>
          <w:tcPr>
            <w:tcW w:w="2100" w:type="dxa"/>
            <w:vAlign w:val="center"/>
          </w:tcPr>
          <w:p>
            <w:pPr>
              <w:spacing w:line="276" w:lineRule="auto"/>
              <w:jc w:val="center"/>
              <w:rPr>
                <w:rFonts w:ascii="宋体" w:hAnsi="宋体"/>
                <w:szCs w:val="21"/>
              </w:rPr>
            </w:pPr>
            <w:r>
              <w:rPr>
                <w:rFonts w:hint="eastAsia" w:ascii="宋体" w:hAnsi="宋体"/>
                <w:szCs w:val="21"/>
              </w:rPr>
              <w:t>华为技术有限公司</w:t>
            </w:r>
          </w:p>
        </w:tc>
        <w:tc>
          <w:tcPr>
            <w:tcW w:w="1491" w:type="dxa"/>
            <w:vMerge w:val="restart"/>
            <w:vAlign w:val="center"/>
          </w:tcPr>
          <w:p>
            <w:pPr>
              <w:spacing w:line="276" w:lineRule="auto"/>
              <w:jc w:val="center"/>
              <w:rPr>
                <w:rFonts w:ascii="宋体" w:hAnsi="宋体"/>
                <w:szCs w:val="21"/>
              </w:rPr>
            </w:pPr>
            <w:r>
              <w:rPr>
                <w:rFonts w:ascii="宋体" w:hAnsi="宋体"/>
                <w:szCs w:val="21"/>
              </w:rPr>
              <w:t>必考</w:t>
            </w:r>
            <w:r>
              <w:rPr>
                <w:rFonts w:hint="eastAsia" w:ascii="宋体" w:hAnsi="宋体"/>
                <w:szCs w:val="21"/>
              </w:rPr>
              <w:t>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rFonts w:ascii="宋体" w:hAnsi="宋体"/>
                <w:szCs w:val="21"/>
              </w:rPr>
            </w:pPr>
            <w:r>
              <w:rPr>
                <w:rFonts w:ascii="宋体" w:hAnsi="宋体"/>
                <w:szCs w:val="21"/>
              </w:rPr>
              <w:t>2</w:t>
            </w:r>
          </w:p>
        </w:tc>
        <w:tc>
          <w:tcPr>
            <w:tcW w:w="3312" w:type="dxa"/>
            <w:vAlign w:val="center"/>
          </w:tcPr>
          <w:p>
            <w:pPr>
              <w:jc w:val="left"/>
              <w:rPr>
                <w:rFonts w:ascii="宋体" w:hAnsi="宋体"/>
                <w:szCs w:val="21"/>
              </w:rPr>
            </w:pPr>
            <w:r>
              <w:rPr>
                <w:rFonts w:hint="eastAsia"/>
                <w:szCs w:val="21"/>
              </w:rPr>
              <w:t>1+X证书-云计算平台运维与开发职业技能等级证书(中级)</w:t>
            </w:r>
          </w:p>
        </w:tc>
        <w:tc>
          <w:tcPr>
            <w:tcW w:w="2100" w:type="dxa"/>
            <w:vAlign w:val="center"/>
          </w:tcPr>
          <w:p>
            <w:pPr>
              <w:spacing w:line="276" w:lineRule="auto"/>
              <w:jc w:val="center"/>
              <w:rPr>
                <w:rFonts w:ascii="宋体" w:hAnsi="宋体"/>
                <w:szCs w:val="21"/>
              </w:rPr>
            </w:pPr>
            <w:r>
              <w:rPr>
                <w:rFonts w:hint="eastAsia" w:ascii="宋体" w:hAnsi="宋体"/>
                <w:szCs w:val="21"/>
              </w:rPr>
              <w:t>南京第五十五所技术开发有限公司</w:t>
            </w:r>
          </w:p>
        </w:tc>
        <w:tc>
          <w:tcPr>
            <w:tcW w:w="1491" w:type="dxa"/>
            <w:vMerge w:val="continue"/>
            <w:vAlign w:val="center"/>
          </w:tcPr>
          <w:p>
            <w:pPr>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rFonts w:ascii="宋体" w:hAnsi="宋体"/>
                <w:szCs w:val="21"/>
              </w:rPr>
            </w:pPr>
            <w:r>
              <w:rPr>
                <w:rFonts w:hint="eastAsia" w:ascii="宋体" w:hAnsi="宋体"/>
                <w:szCs w:val="21"/>
              </w:rPr>
              <w:t>3</w:t>
            </w:r>
          </w:p>
        </w:tc>
        <w:tc>
          <w:tcPr>
            <w:tcW w:w="3312" w:type="dxa"/>
            <w:vAlign w:val="center"/>
          </w:tcPr>
          <w:p>
            <w:pPr>
              <w:jc w:val="left"/>
              <w:rPr>
                <w:rFonts w:ascii="宋体" w:hAnsi="宋体"/>
                <w:szCs w:val="21"/>
              </w:rPr>
            </w:pPr>
            <w:r>
              <w:rPr>
                <w:rFonts w:hint="eastAsia"/>
                <w:szCs w:val="21"/>
              </w:rPr>
              <w:t>华为认证网络工程师</w:t>
            </w:r>
          </w:p>
        </w:tc>
        <w:tc>
          <w:tcPr>
            <w:tcW w:w="2100" w:type="dxa"/>
            <w:vAlign w:val="center"/>
          </w:tcPr>
          <w:p>
            <w:pPr>
              <w:jc w:val="center"/>
              <w:rPr>
                <w:rFonts w:ascii="宋体" w:hAnsi="宋体"/>
                <w:szCs w:val="21"/>
              </w:rPr>
            </w:pPr>
            <w:r>
              <w:rPr>
                <w:rFonts w:hint="eastAsia" w:ascii="宋体" w:hAnsi="宋体"/>
                <w:szCs w:val="21"/>
              </w:rPr>
              <w:t>华为技术有限公司</w:t>
            </w:r>
          </w:p>
        </w:tc>
        <w:tc>
          <w:tcPr>
            <w:tcW w:w="1491" w:type="dxa"/>
            <w:vMerge w:val="continue"/>
            <w:vAlign w:val="center"/>
          </w:tcPr>
          <w:p>
            <w:pPr>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rFonts w:ascii="宋体" w:hAnsi="宋体"/>
                <w:szCs w:val="21"/>
              </w:rPr>
            </w:pPr>
            <w:r>
              <w:rPr>
                <w:rFonts w:hint="eastAsia" w:ascii="宋体" w:hAnsi="宋体"/>
                <w:szCs w:val="21"/>
              </w:rPr>
              <w:t>4</w:t>
            </w:r>
          </w:p>
        </w:tc>
        <w:tc>
          <w:tcPr>
            <w:tcW w:w="3312" w:type="dxa"/>
            <w:vAlign w:val="center"/>
          </w:tcPr>
          <w:p>
            <w:pPr>
              <w:jc w:val="left"/>
              <w:rPr>
                <w:rFonts w:ascii="宋体" w:hAnsi="宋体"/>
                <w:szCs w:val="21"/>
              </w:rPr>
            </w:pPr>
            <w:r>
              <w:rPr>
                <w:rFonts w:hint="eastAsia"/>
                <w:szCs w:val="21"/>
              </w:rPr>
              <w:t>华为认证云计算工程师</w:t>
            </w:r>
          </w:p>
        </w:tc>
        <w:tc>
          <w:tcPr>
            <w:tcW w:w="2100" w:type="dxa"/>
            <w:vAlign w:val="center"/>
          </w:tcPr>
          <w:p>
            <w:pPr>
              <w:jc w:val="center"/>
              <w:rPr>
                <w:rFonts w:ascii="宋体" w:hAnsi="宋体"/>
                <w:szCs w:val="21"/>
              </w:rPr>
            </w:pPr>
            <w:r>
              <w:rPr>
                <w:rFonts w:hint="eastAsia" w:ascii="宋体" w:hAnsi="宋体"/>
                <w:szCs w:val="21"/>
              </w:rPr>
              <w:t>华为技术有限公司</w:t>
            </w:r>
          </w:p>
        </w:tc>
        <w:tc>
          <w:tcPr>
            <w:tcW w:w="1491" w:type="dxa"/>
            <w:vMerge w:val="continue"/>
            <w:vAlign w:val="center"/>
          </w:tcPr>
          <w:p>
            <w:pPr>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rFonts w:ascii="宋体" w:hAnsi="宋体"/>
                <w:szCs w:val="21"/>
              </w:rPr>
            </w:pPr>
            <w:r>
              <w:rPr>
                <w:rFonts w:hint="eastAsia" w:ascii="宋体" w:hAnsi="宋体"/>
                <w:szCs w:val="21"/>
              </w:rPr>
              <w:t>5</w:t>
            </w:r>
          </w:p>
        </w:tc>
        <w:tc>
          <w:tcPr>
            <w:tcW w:w="3312" w:type="dxa"/>
            <w:vAlign w:val="center"/>
          </w:tcPr>
          <w:p>
            <w:pPr>
              <w:spacing w:line="276" w:lineRule="auto"/>
              <w:rPr>
                <w:rFonts w:ascii="宋体" w:hAnsi="宋体"/>
                <w:szCs w:val="21"/>
              </w:rPr>
            </w:pPr>
            <w:r>
              <w:rPr>
                <w:rFonts w:hint="eastAsia"/>
                <w:szCs w:val="21"/>
              </w:rPr>
              <w:t>红帽认证工程师</w:t>
            </w:r>
          </w:p>
        </w:tc>
        <w:tc>
          <w:tcPr>
            <w:tcW w:w="2100" w:type="dxa"/>
            <w:vAlign w:val="center"/>
          </w:tcPr>
          <w:p>
            <w:pPr>
              <w:jc w:val="center"/>
              <w:rPr>
                <w:rFonts w:ascii="宋体" w:hAnsi="宋体"/>
                <w:szCs w:val="21"/>
              </w:rPr>
            </w:pPr>
            <w:r>
              <w:rPr>
                <w:rFonts w:hint="eastAsia" w:ascii="宋体" w:hAnsi="宋体"/>
                <w:szCs w:val="21"/>
              </w:rPr>
              <w:t>红帽linux公司</w:t>
            </w:r>
          </w:p>
        </w:tc>
        <w:tc>
          <w:tcPr>
            <w:tcW w:w="1491" w:type="dxa"/>
            <w:vMerge w:val="continue"/>
            <w:vAlign w:val="center"/>
          </w:tcPr>
          <w:p>
            <w:pPr>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szCs w:val="21"/>
              </w:rPr>
            </w:pPr>
            <w:r>
              <w:rPr>
                <w:rFonts w:hint="eastAsia"/>
                <w:szCs w:val="21"/>
              </w:rPr>
              <w:t>6</w:t>
            </w:r>
          </w:p>
        </w:tc>
        <w:tc>
          <w:tcPr>
            <w:tcW w:w="3312" w:type="dxa"/>
            <w:vAlign w:val="center"/>
          </w:tcPr>
          <w:p>
            <w:pPr>
              <w:jc w:val="left"/>
              <w:rPr>
                <w:szCs w:val="21"/>
              </w:rPr>
            </w:pPr>
            <w:r>
              <w:rPr>
                <w:rFonts w:hint="eastAsia"/>
                <w:szCs w:val="21"/>
              </w:rPr>
              <w:t>网络系统组建与维护（中级）</w:t>
            </w:r>
          </w:p>
        </w:tc>
        <w:tc>
          <w:tcPr>
            <w:tcW w:w="2100" w:type="dxa"/>
            <w:vAlign w:val="center"/>
          </w:tcPr>
          <w:p>
            <w:pPr>
              <w:jc w:val="center"/>
              <w:rPr>
                <w:rFonts w:ascii="宋体" w:hAnsi="宋体"/>
                <w:szCs w:val="21"/>
              </w:rPr>
            </w:pPr>
            <w:r>
              <w:rPr>
                <w:rFonts w:hint="eastAsia" w:ascii="宋体" w:hAnsi="宋体"/>
                <w:szCs w:val="21"/>
              </w:rPr>
              <w:t>上海市人力资源和社会保障局</w:t>
            </w:r>
          </w:p>
        </w:tc>
        <w:tc>
          <w:tcPr>
            <w:tcW w:w="1491" w:type="dxa"/>
            <w:vMerge w:val="continue"/>
            <w:vAlign w:val="center"/>
          </w:tcPr>
          <w:p>
            <w:pPr>
              <w:spacing w:line="276" w:lineRule="auto"/>
              <w:jc w:val="center"/>
              <w:rPr>
                <w:rFonts w:ascii="宋体" w:hAnsi="宋体"/>
                <w:szCs w:val="21"/>
              </w:rPr>
            </w:pPr>
          </w:p>
        </w:tc>
      </w:tr>
    </w:tbl>
    <w:p>
      <w:pPr>
        <w:overflowPunct w:val="0"/>
        <w:adjustRightInd w:val="0"/>
        <w:spacing w:line="360" w:lineRule="auto"/>
        <w:ind w:firstLine="480" w:firstLineChars="200"/>
        <w:outlineLvl w:val="0"/>
        <w:rPr>
          <w:rFonts w:eastAsia="黑体"/>
          <w:sz w:val="24"/>
          <w:szCs w:val="24"/>
        </w:rPr>
      </w:pP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___WRD_EMBED_SUB_38">
    <w:altName w:val="宋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26" w:name="_GoBack"/>
    <w:bookmarkEnd w:id="26"/>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
    <w:nsid w:val="D96CB74A"/>
    <w:multiLevelType w:val="singleLevel"/>
    <w:tmpl w:val="D96CB74A"/>
    <w:lvl w:ilvl="0" w:tentative="0">
      <w:start w:val="1"/>
      <w:numFmt w:val="bullet"/>
      <w:lvlText w:val=""/>
      <w:lvlJc w:val="left"/>
      <w:pPr>
        <w:ind w:left="420" w:hanging="420"/>
      </w:pPr>
      <w:rPr>
        <w:rFonts w:hint="default" w:ascii="Wingdings" w:hAnsi="Wingdings"/>
      </w:rPr>
    </w:lvl>
  </w:abstractNum>
  <w:abstractNum w:abstractNumId="2">
    <w:nsid w:val="EB09580C"/>
    <w:multiLevelType w:val="singleLevel"/>
    <w:tmpl w:val="EB09580C"/>
    <w:lvl w:ilvl="0" w:tentative="0">
      <w:start w:val="2"/>
      <w:numFmt w:val="chineseCounting"/>
      <w:suff w:val="nothing"/>
      <w:lvlText w:val="（%1）"/>
      <w:lvlJc w:val="left"/>
      <w:rPr>
        <w:rFonts w:hint="eastAsia"/>
      </w:rPr>
    </w:lvl>
  </w:abstractNum>
  <w:abstractNum w:abstractNumId="3">
    <w:nsid w:val="15842506"/>
    <w:multiLevelType w:val="multilevel"/>
    <w:tmpl w:val="15842506"/>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2A8F537B"/>
    <w:multiLevelType w:val="singleLevel"/>
    <w:tmpl w:val="2A8F537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NiNTg1YWU5NmNhOWQ2NmU0MTQ0MjNhZmI1YjIzZDAifQ=="/>
  </w:docVars>
  <w:rsids>
    <w:rsidRoot w:val="5B7E7878"/>
    <w:rsid w:val="00011108"/>
    <w:rsid w:val="000B103E"/>
    <w:rsid w:val="002A377C"/>
    <w:rsid w:val="002A7DAF"/>
    <w:rsid w:val="00345903"/>
    <w:rsid w:val="004E7DBA"/>
    <w:rsid w:val="00A652F1"/>
    <w:rsid w:val="00B656DF"/>
    <w:rsid w:val="00C30CC6"/>
    <w:rsid w:val="00CE2D6C"/>
    <w:rsid w:val="00D81B5E"/>
    <w:rsid w:val="0D4B10F0"/>
    <w:rsid w:val="22505DB5"/>
    <w:rsid w:val="26011637"/>
    <w:rsid w:val="2D726BB5"/>
    <w:rsid w:val="35CB0494"/>
    <w:rsid w:val="3B0C0D5E"/>
    <w:rsid w:val="56717546"/>
    <w:rsid w:val="5B7E7878"/>
    <w:rsid w:val="5EF835AB"/>
    <w:rsid w:val="5F6A6D0B"/>
    <w:rsid w:val="6081776F"/>
    <w:rsid w:val="77D44D6A"/>
    <w:rsid w:val="7F4E2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uiPriority w:val="0"/>
    <w:rPr>
      <w:sz w:val="18"/>
      <w:szCs w:val="18"/>
    </w:r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link w:val="16"/>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Body text|1"/>
    <w:basedOn w:val="1"/>
    <w:qFormat/>
    <w:uiPriority w:val="0"/>
    <w:pPr>
      <w:spacing w:line="360" w:lineRule="auto"/>
      <w:ind w:firstLine="400"/>
    </w:pPr>
    <w:rPr>
      <w:rFonts w:ascii="宋体" w:hAnsi="宋体" w:cs="宋体"/>
      <w:sz w:val="19"/>
      <w:szCs w:val="19"/>
      <w:lang w:val="zh-TW" w:eastAsia="zh-TW" w:bidi="zh-TW"/>
    </w:rPr>
  </w:style>
  <w:style w:type="paragraph" w:styleId="9">
    <w:name w:val="List Paragraph"/>
    <w:basedOn w:val="1"/>
    <w:qFormat/>
    <w:uiPriority w:val="0"/>
    <w:pPr>
      <w:ind w:firstLine="420" w:firstLineChars="200"/>
    </w:pPr>
    <w:rPr>
      <w:szCs w:val="24"/>
    </w:rPr>
  </w:style>
  <w:style w:type="character" w:customStyle="1" w:styleId="10">
    <w:name w:val="font71"/>
    <w:basedOn w:val="6"/>
    <w:uiPriority w:val="0"/>
    <w:rPr>
      <w:rFonts w:hint="eastAsia" w:ascii="宋体" w:hAnsi="宋体" w:eastAsia="宋体" w:cs="宋体"/>
      <w:color w:val="000000"/>
      <w:sz w:val="18"/>
      <w:szCs w:val="18"/>
      <w:u w:val="none"/>
    </w:rPr>
  </w:style>
  <w:style w:type="character" w:customStyle="1" w:styleId="11">
    <w:name w:val="font11"/>
    <w:basedOn w:val="6"/>
    <w:uiPriority w:val="0"/>
    <w:rPr>
      <w:rFonts w:hint="eastAsia" w:ascii="宋体" w:hAnsi="宋体" w:eastAsia="宋体" w:cs="宋体"/>
      <w:color w:val="000000"/>
      <w:sz w:val="20"/>
      <w:szCs w:val="20"/>
      <w:u w:val="none"/>
    </w:rPr>
  </w:style>
  <w:style w:type="character" w:customStyle="1" w:styleId="12">
    <w:name w:val="font21"/>
    <w:basedOn w:val="6"/>
    <w:uiPriority w:val="0"/>
    <w:rPr>
      <w:rFonts w:ascii="Calibri" w:hAnsi="Calibri" w:cs="Calibri"/>
      <w:color w:val="000000"/>
      <w:sz w:val="18"/>
      <w:szCs w:val="18"/>
      <w:u w:val="none"/>
    </w:rPr>
  </w:style>
  <w:style w:type="character" w:customStyle="1" w:styleId="13">
    <w:name w:val="font41"/>
    <w:basedOn w:val="6"/>
    <w:uiPriority w:val="0"/>
    <w:rPr>
      <w:rFonts w:hint="eastAsia" w:ascii="宋体" w:hAnsi="宋体" w:eastAsia="宋体" w:cs="宋体"/>
      <w:color w:val="000000"/>
      <w:sz w:val="18"/>
      <w:szCs w:val="18"/>
      <w:u w:val="none"/>
    </w:rPr>
  </w:style>
  <w:style w:type="character" w:customStyle="1" w:styleId="14">
    <w:name w:val="font91"/>
    <w:basedOn w:val="6"/>
    <w:uiPriority w:val="0"/>
    <w:rPr>
      <w:rFonts w:hint="default" w:ascii="Times New Roman" w:hAnsi="Times New Roman" w:cs="Times New Roman"/>
      <w:color w:val="000000"/>
      <w:sz w:val="18"/>
      <w:szCs w:val="18"/>
      <w:u w:val="none"/>
    </w:rPr>
  </w:style>
  <w:style w:type="character" w:customStyle="1" w:styleId="15">
    <w:name w:val="font61"/>
    <w:basedOn w:val="6"/>
    <w:uiPriority w:val="0"/>
    <w:rPr>
      <w:rFonts w:hint="default" w:ascii="Calibri" w:hAnsi="Calibri" w:cs="Calibri"/>
      <w:color w:val="000000"/>
      <w:sz w:val="18"/>
      <w:szCs w:val="18"/>
      <w:u w:val="none"/>
    </w:rPr>
  </w:style>
  <w:style w:type="character" w:customStyle="1" w:styleId="16">
    <w:name w:val="页眉 Char"/>
    <w:basedOn w:val="6"/>
    <w:link w:val="4"/>
    <w:uiPriority w:val="0"/>
    <w:rPr>
      <w:kern w:val="2"/>
      <w:sz w:val="18"/>
      <w:szCs w:val="18"/>
    </w:rPr>
  </w:style>
  <w:style w:type="character" w:customStyle="1" w:styleId="17">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stiei</Company>
  <Pages>25</Pages>
  <Words>15189</Words>
  <Characters>16099</Characters>
  <Lines>133</Lines>
  <Paragraphs>37</Paragraphs>
  <TotalTime>25</TotalTime>
  <ScaleCrop>false</ScaleCrop>
  <LinksUpToDate>false</LinksUpToDate>
  <CharactersWithSpaces>16217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2022-04-27T07:49:00Z</dcterms:created>
  <dc:creator>健勇</dc:creator>
  <cp:lastModifiedBy>蔡中奇</cp:lastModifiedBy>
  <cp:lastPrinted>2022-05-06T02:03:00Z</cp:lastPrinted>
  <dcterms:modified xsi:type="dcterms:W3CDTF">2022-12-15T02:04:45Z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396B9E1B39964293B6A6A5CDA06C3DBB</vt:lpwstr>
  </property>
</Properties>
</file>