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autoSpaceDE/>
        <w:autoSpaceDN/>
        <w:adjustRightInd/>
        <w:spacing w:before="340" w:after="330" w:line="276" w:lineRule="auto"/>
        <w:ind w:firstLine="643" w:firstLineChars="200"/>
        <w:jc w:val="center"/>
        <w:rPr>
          <w:rFonts w:hint="eastAsia" w:ascii="黑体" w:hAnsi="黑体" w:eastAsia="黑体" w:cs="Times New Roman"/>
          <w:b/>
          <w:bCs/>
          <w:kern w:val="44"/>
          <w:sz w:val="32"/>
          <w:szCs w:val="32"/>
          <w:lang w:val="en-US" w:eastAsia="zh-CN"/>
        </w:rPr>
      </w:pPr>
      <w:bookmarkStart w:id="0" w:name="_Toc28037"/>
      <w:r>
        <w:rPr>
          <w:rFonts w:hint="eastAsia" w:ascii="黑体" w:hAnsi="黑体" w:eastAsia="黑体" w:cs="Times New Roman"/>
          <w:b/>
          <w:bCs/>
          <w:kern w:val="44"/>
          <w:sz w:val="32"/>
          <w:szCs w:val="32"/>
          <w:lang w:val="en-US" w:eastAsia="zh-CN"/>
        </w:rPr>
        <w:t>产品艺术设计专业人才培养方案</w:t>
      </w:r>
      <w:bookmarkEnd w:id="0"/>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zh-CN" w:eastAsia="zh-CN"/>
        </w:rPr>
      </w:pPr>
      <w:bookmarkStart w:id="1" w:name="_Toc13303"/>
      <w:r>
        <w:rPr>
          <w:rFonts w:hint="eastAsia" w:ascii="黑体" w:hAnsi="黑体" w:eastAsia="黑体" w:cs="Times New Roman"/>
          <w:b w:val="0"/>
          <w:bCs/>
          <w:kern w:val="2"/>
          <w:sz w:val="24"/>
          <w:szCs w:val="24"/>
          <w:lang w:val="en-US" w:eastAsia="zh-CN"/>
        </w:rPr>
        <w:t>一、</w:t>
      </w:r>
      <w:r>
        <w:rPr>
          <w:rFonts w:hint="eastAsia" w:ascii="黑体" w:hAnsi="黑体" w:eastAsia="黑体" w:cs="Times New Roman"/>
          <w:b w:val="0"/>
          <w:bCs/>
          <w:kern w:val="2"/>
          <w:sz w:val="24"/>
          <w:szCs w:val="24"/>
          <w:lang w:val="zh-CN" w:eastAsia="zh-CN"/>
        </w:rPr>
        <w:t>专业名称及代码</w:t>
      </w:r>
      <w:bookmarkEnd w:id="1"/>
    </w:p>
    <w:p>
      <w:pPr>
        <w:widowControl w:val="0"/>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jc w:val="both"/>
        <w:rPr>
          <w:rFonts w:hint="eastAsia" w:ascii="Times New Roman" w:hAnsi="Times New Roman" w:cs="Times New Roman"/>
          <w:spacing w:val="0"/>
          <w:kern w:val="2"/>
          <w:position w:val="0"/>
          <w:sz w:val="21"/>
          <w:szCs w:val="21"/>
          <w:lang w:val="zh-TW" w:eastAsia="zh-TW" w:bidi="ar-SA"/>
        </w:rPr>
      </w:pPr>
      <w:r>
        <w:rPr>
          <w:rFonts w:hint="eastAsia" w:ascii="Times New Roman" w:hAnsi="Times New Roman" w:cs="Times New Roman"/>
          <w:spacing w:val="0"/>
          <w:kern w:val="2"/>
          <w:position w:val="0"/>
          <w:sz w:val="21"/>
          <w:szCs w:val="21"/>
          <w:lang w:val="zh-TW" w:eastAsia="zh-TW" w:bidi="ar-SA"/>
        </w:rPr>
        <w:t>专业名称：产品艺术设计</w:t>
      </w:r>
    </w:p>
    <w:p>
      <w:pPr>
        <w:widowControl w:val="0"/>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jc w:val="both"/>
        <w:rPr>
          <w:rFonts w:hint="eastAsia" w:ascii="Times New Roman" w:hAnsi="Times New Roman" w:cs="Times New Roman"/>
          <w:spacing w:val="0"/>
          <w:kern w:val="2"/>
          <w:position w:val="0"/>
          <w:sz w:val="21"/>
          <w:szCs w:val="21"/>
          <w:lang w:val="zh-TW" w:eastAsia="zh-TW" w:bidi="ar-SA"/>
        </w:rPr>
      </w:pPr>
      <w:r>
        <w:rPr>
          <w:rFonts w:hint="eastAsia" w:ascii="Times New Roman" w:hAnsi="Times New Roman" w:cs="Times New Roman"/>
          <w:spacing w:val="0"/>
          <w:kern w:val="2"/>
          <w:position w:val="0"/>
          <w:sz w:val="21"/>
          <w:szCs w:val="21"/>
          <w:lang w:val="zh-TW" w:eastAsia="zh-TW" w:bidi="ar-SA"/>
        </w:rPr>
        <w:t>专业代码：</w:t>
      </w:r>
      <w:r>
        <w:rPr>
          <w:rFonts w:hint="eastAsia" w:ascii="Times New Roman" w:hAnsi="Times New Roman" w:cs="Times New Roman"/>
          <w:spacing w:val="0"/>
          <w:kern w:val="2"/>
          <w:position w:val="0"/>
          <w:sz w:val="21"/>
          <w:szCs w:val="21"/>
          <w:lang w:val="zh-TW" w:eastAsia="zh-CN" w:bidi="ar-SA"/>
        </w:rPr>
        <w:t>5</w:t>
      </w:r>
      <w:r>
        <w:rPr>
          <w:rFonts w:hint="eastAsia" w:ascii="Times New Roman" w:hAnsi="Times New Roman" w:cs="Times New Roman"/>
          <w:spacing w:val="0"/>
          <w:kern w:val="2"/>
          <w:position w:val="0"/>
          <w:sz w:val="21"/>
          <w:szCs w:val="21"/>
          <w:lang w:val="zh-TW" w:eastAsia="zh-TW" w:bidi="ar-SA"/>
        </w:rPr>
        <w:t>5010</w:t>
      </w:r>
      <w:r>
        <w:rPr>
          <w:rFonts w:hint="eastAsia" w:ascii="Times New Roman" w:hAnsi="Times New Roman" w:cs="Times New Roman"/>
          <w:spacing w:val="0"/>
          <w:kern w:val="2"/>
          <w:position w:val="0"/>
          <w:sz w:val="21"/>
          <w:szCs w:val="21"/>
          <w:lang w:val="zh-TW" w:eastAsia="zh-CN" w:bidi="ar-SA"/>
        </w:rPr>
        <w:t>4</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zh-CN" w:eastAsia="zh-CN"/>
        </w:rPr>
      </w:pPr>
      <w:bookmarkStart w:id="2" w:name="_Toc5478"/>
      <w:r>
        <w:rPr>
          <w:rFonts w:hint="eastAsia" w:ascii="黑体" w:hAnsi="黑体" w:eastAsia="黑体" w:cs="Times New Roman"/>
          <w:b w:val="0"/>
          <w:bCs/>
          <w:kern w:val="2"/>
          <w:sz w:val="24"/>
          <w:szCs w:val="24"/>
          <w:lang w:val="en-US" w:eastAsia="zh-CN"/>
        </w:rPr>
        <w:t>二、</w:t>
      </w:r>
      <w:r>
        <w:rPr>
          <w:rFonts w:hint="eastAsia" w:ascii="黑体" w:hAnsi="黑体" w:eastAsia="黑体" w:cs="Times New Roman"/>
          <w:b w:val="0"/>
          <w:bCs/>
          <w:kern w:val="2"/>
          <w:sz w:val="24"/>
          <w:szCs w:val="24"/>
          <w:lang w:val="zh-CN" w:eastAsia="zh-CN"/>
        </w:rPr>
        <w:t>入学要求</w:t>
      </w:r>
      <w:bookmarkEnd w:id="2"/>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普通高级中学毕业、中等职业学校毕业或具备同等学力</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3" w:name="_Toc23990"/>
      <w:r>
        <w:rPr>
          <w:rFonts w:hint="eastAsia" w:ascii="黑体" w:hAnsi="黑体" w:eastAsia="黑体" w:cs="Times New Roman"/>
          <w:b w:val="0"/>
          <w:bCs/>
          <w:kern w:val="2"/>
          <w:sz w:val="24"/>
          <w:szCs w:val="24"/>
          <w:lang w:val="en-US" w:eastAsia="zh-CN"/>
        </w:rPr>
        <w:t>三、修业年限</w:t>
      </w:r>
      <w:bookmarkEnd w:id="3"/>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三年,可以根据学生灵活学习需求合理、弹性安排学习时间</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4" w:name="_Toc24094"/>
      <w:r>
        <w:rPr>
          <w:rFonts w:hint="eastAsia" w:ascii="黑体" w:hAnsi="黑体" w:eastAsia="黑体" w:cs="Times New Roman"/>
          <w:b w:val="0"/>
          <w:bCs/>
          <w:kern w:val="2"/>
          <w:sz w:val="24"/>
          <w:szCs w:val="24"/>
          <w:lang w:val="en-US" w:eastAsia="zh-CN"/>
        </w:rPr>
        <w:t>四、职业面向</w:t>
      </w:r>
      <w:bookmarkEnd w:id="4"/>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产品艺术设计专业职业面向如下表所示。</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422" w:firstLineChars="200"/>
        <w:jc w:val="center"/>
        <w:rPr>
          <w:rFonts w:hint="eastAsia" w:ascii="仿宋" w:hAnsi="仿宋" w:eastAsia="仿宋" w:cs="Times New Roman"/>
          <w:b/>
          <w:spacing w:val="0"/>
          <w:kern w:val="2"/>
          <w:position w:val="0"/>
          <w:szCs w:val="21"/>
        </w:rPr>
      </w:pPr>
      <w:r>
        <w:rPr>
          <w:rFonts w:hint="eastAsia" w:ascii="仿宋" w:hAnsi="仿宋" w:eastAsia="仿宋" w:cs="Times New Roman"/>
          <w:b/>
          <w:spacing w:val="0"/>
          <w:kern w:val="2"/>
          <w:position w:val="0"/>
          <w:szCs w:val="21"/>
          <w:lang w:val="zh-CN"/>
        </w:rPr>
        <w:t>表1</w:t>
      </w:r>
      <w:r>
        <w:rPr>
          <w:rFonts w:hint="eastAsia" w:ascii="仿宋" w:hAnsi="仿宋" w:eastAsia="仿宋" w:cs="Times New Roman"/>
          <w:b/>
          <w:spacing w:val="0"/>
          <w:kern w:val="2"/>
          <w:position w:val="0"/>
          <w:szCs w:val="21"/>
        </w:rPr>
        <w:t>产品艺术设计专业职业面向</w:t>
      </w:r>
    </w:p>
    <w:tbl>
      <w:tblPr>
        <w:tblStyle w:val="7"/>
        <w:tblpPr w:leftFromText="180" w:rightFromText="180" w:vertAnchor="text" w:horzAnchor="page" w:tblpX="2036" w:tblpY="238"/>
        <w:tblW w:w="814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2"/>
        <w:gridCol w:w="942"/>
        <w:gridCol w:w="1002"/>
        <w:gridCol w:w="1602"/>
        <w:gridCol w:w="1278"/>
        <w:gridCol w:w="2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exact"/>
        </w:trPr>
        <w:tc>
          <w:tcPr>
            <w:tcW w:w="802"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所属专业大类</w:t>
            </w:r>
          </w:p>
        </w:tc>
        <w:tc>
          <w:tcPr>
            <w:tcW w:w="942"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所属专业类</w:t>
            </w:r>
          </w:p>
        </w:tc>
        <w:tc>
          <w:tcPr>
            <w:tcW w:w="1002"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对应行业</w:t>
            </w:r>
          </w:p>
        </w:tc>
        <w:tc>
          <w:tcPr>
            <w:tcW w:w="1602"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主要职业类别</w:t>
            </w:r>
          </w:p>
        </w:tc>
        <w:tc>
          <w:tcPr>
            <w:tcW w:w="1278"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主要岗位类别（或技术领域）</w:t>
            </w:r>
          </w:p>
        </w:tc>
        <w:tc>
          <w:tcPr>
            <w:tcW w:w="2520" w:type="dxa"/>
            <w:noWrap w:val="0"/>
            <w:vAlign w:val="center"/>
          </w:tcPr>
          <w:p>
            <w:pPr>
              <w:spacing w:line="320" w:lineRule="exact"/>
              <w:ind w:firstLine="0"/>
              <w:jc w:val="left"/>
              <w:rPr>
                <w:rFonts w:hint="eastAsia" w:ascii="宋体" w:hAnsi="宋体" w:eastAsia="宋体" w:cs="宋体"/>
                <w:b/>
                <w:sz w:val="18"/>
                <w:szCs w:val="18"/>
                <w:lang w:val="zh-TW" w:eastAsia="zh-TW"/>
              </w:rPr>
            </w:pPr>
            <w:r>
              <w:rPr>
                <w:rFonts w:hint="eastAsia" w:ascii="宋体" w:hAnsi="宋体" w:eastAsia="宋体" w:cs="宋体"/>
                <w:b/>
                <w:sz w:val="18"/>
                <w:szCs w:val="18"/>
                <w:lang w:val="zh-TW" w:eastAsia="zh-TW"/>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2" w:hRule="exact"/>
        </w:trPr>
        <w:tc>
          <w:tcPr>
            <w:tcW w:w="802" w:type="dxa"/>
            <w:noWrap w:val="0"/>
            <w:vAlign w:val="center"/>
          </w:tcPr>
          <w:p>
            <w:pPr>
              <w:spacing w:line="0" w:lineRule="atLeast"/>
              <w:ind w:firstLine="0"/>
              <w:rPr>
                <w:rFonts w:hint="eastAsia" w:ascii="宋体" w:hAnsi="宋体" w:eastAsia="宋体" w:cs="宋体"/>
                <w:sz w:val="18"/>
                <w:szCs w:val="18"/>
                <w:lang w:val="zh-TW"/>
              </w:rPr>
            </w:pPr>
            <w:r>
              <w:rPr>
                <w:rFonts w:hint="eastAsia" w:ascii="宋体" w:hAnsi="宋体" w:eastAsia="宋体" w:cs="宋体"/>
                <w:sz w:val="18"/>
                <w:szCs w:val="18"/>
                <w:lang w:val="zh-TW" w:eastAsia="zh-TW"/>
              </w:rPr>
              <w:t>文化艺术大类</w:t>
            </w:r>
            <w:r>
              <w:rPr>
                <w:rFonts w:hint="eastAsia" w:ascii="宋体" w:hAnsi="宋体" w:eastAsia="宋体" w:cs="宋体"/>
                <w:sz w:val="18"/>
                <w:szCs w:val="18"/>
                <w:lang w:val="zh-TW"/>
              </w:rPr>
              <w:t>（</w:t>
            </w:r>
            <w:r>
              <w:rPr>
                <w:rFonts w:hint="eastAsia" w:ascii="宋体" w:hAnsi="宋体" w:eastAsia="宋体" w:cs="宋体"/>
                <w:sz w:val="18"/>
                <w:szCs w:val="18"/>
                <w:lang w:val="en-US" w:eastAsia="zh-CN"/>
              </w:rPr>
              <w:t>5</w:t>
            </w:r>
            <w:r>
              <w:rPr>
                <w:rFonts w:hint="eastAsia" w:ascii="宋体" w:hAnsi="宋体" w:eastAsia="宋体" w:cs="宋体"/>
                <w:sz w:val="18"/>
                <w:szCs w:val="18"/>
              </w:rPr>
              <w:t>5</w:t>
            </w:r>
            <w:r>
              <w:rPr>
                <w:rFonts w:hint="eastAsia" w:ascii="宋体" w:hAnsi="宋体" w:eastAsia="宋体" w:cs="宋体"/>
                <w:sz w:val="18"/>
                <w:szCs w:val="18"/>
                <w:lang w:val="zh-TW"/>
              </w:rPr>
              <w:t>）</w:t>
            </w:r>
          </w:p>
        </w:tc>
        <w:tc>
          <w:tcPr>
            <w:tcW w:w="942" w:type="dxa"/>
            <w:noWrap w:val="0"/>
            <w:vAlign w:val="center"/>
          </w:tcPr>
          <w:p>
            <w:pPr>
              <w:spacing w:line="0" w:lineRule="atLeast"/>
              <w:ind w:firstLine="0"/>
              <w:rPr>
                <w:rFonts w:hint="eastAsia" w:ascii="宋体" w:hAnsi="宋体" w:eastAsia="宋体" w:cs="宋体"/>
                <w:sz w:val="18"/>
                <w:szCs w:val="18"/>
                <w:lang w:val="zh-TW"/>
              </w:rPr>
            </w:pPr>
            <w:r>
              <w:rPr>
                <w:rFonts w:hint="eastAsia" w:ascii="宋体" w:hAnsi="宋体" w:eastAsia="宋体" w:cs="宋体"/>
                <w:sz w:val="18"/>
                <w:szCs w:val="18"/>
                <w:lang w:val="en-US" w:eastAsia="zh-CN"/>
              </w:rPr>
              <w:t>5</w:t>
            </w:r>
            <w:r>
              <w:rPr>
                <w:rFonts w:hint="eastAsia" w:ascii="宋体" w:hAnsi="宋体" w:eastAsia="宋体" w:cs="宋体"/>
                <w:sz w:val="18"/>
                <w:szCs w:val="18"/>
                <w:lang w:val="zh-TW" w:eastAsia="zh-TW"/>
              </w:rPr>
              <w:t>501艺术设计类</w:t>
            </w:r>
            <w:r>
              <w:rPr>
                <w:rFonts w:hint="eastAsia" w:ascii="宋体" w:hAnsi="宋体" w:eastAsia="宋体" w:cs="宋体"/>
                <w:sz w:val="18"/>
                <w:szCs w:val="18"/>
                <w:lang w:val="zh-TW"/>
              </w:rPr>
              <w:t>（</w:t>
            </w:r>
            <w:r>
              <w:rPr>
                <w:rFonts w:hint="eastAsia" w:ascii="宋体" w:hAnsi="宋体" w:eastAsia="宋体" w:cs="宋体"/>
                <w:sz w:val="18"/>
                <w:szCs w:val="18"/>
                <w:lang w:val="en-US" w:eastAsia="zh-CN"/>
              </w:rPr>
              <w:t>5</w:t>
            </w:r>
            <w:r>
              <w:rPr>
                <w:rFonts w:hint="eastAsia" w:ascii="宋体" w:hAnsi="宋体" w:eastAsia="宋体" w:cs="宋体"/>
                <w:sz w:val="18"/>
                <w:szCs w:val="18"/>
              </w:rPr>
              <w:t>501</w:t>
            </w:r>
            <w:r>
              <w:rPr>
                <w:rFonts w:hint="eastAsia" w:ascii="宋体" w:hAnsi="宋体" w:eastAsia="宋体" w:cs="宋体"/>
                <w:sz w:val="18"/>
                <w:szCs w:val="18"/>
                <w:lang w:val="zh-TW"/>
              </w:rPr>
              <w:t>）</w:t>
            </w:r>
          </w:p>
        </w:tc>
        <w:tc>
          <w:tcPr>
            <w:tcW w:w="1002" w:type="dxa"/>
            <w:noWrap w:val="0"/>
            <w:vAlign w:val="center"/>
          </w:tcPr>
          <w:p>
            <w:pPr>
              <w:spacing w:line="0" w:lineRule="atLeast"/>
              <w:ind w:firstLine="0"/>
              <w:rPr>
                <w:rFonts w:hint="eastAsia" w:ascii="宋体" w:hAnsi="宋体" w:eastAsia="宋体" w:cs="宋体"/>
                <w:sz w:val="18"/>
                <w:szCs w:val="18"/>
              </w:rPr>
            </w:pPr>
            <w:r>
              <w:rPr>
                <w:rFonts w:hint="eastAsia" w:ascii="宋体" w:hAnsi="宋体" w:eastAsia="宋体" w:cs="宋体"/>
                <w:sz w:val="18"/>
                <w:szCs w:val="18"/>
              </w:rPr>
              <w:t>通用设备制造业（34）</w:t>
            </w:r>
          </w:p>
          <w:p>
            <w:pPr>
              <w:spacing w:line="0" w:lineRule="atLeast"/>
              <w:ind w:firstLine="0"/>
              <w:rPr>
                <w:rFonts w:hint="eastAsia" w:ascii="宋体" w:hAnsi="宋体" w:eastAsia="宋体" w:cs="宋体"/>
                <w:sz w:val="18"/>
                <w:szCs w:val="18"/>
                <w:lang w:val="zh-TW" w:eastAsia="zh-TW"/>
              </w:rPr>
            </w:pPr>
          </w:p>
        </w:tc>
        <w:tc>
          <w:tcPr>
            <w:tcW w:w="1602" w:type="dxa"/>
            <w:noWrap w:val="0"/>
            <w:vAlign w:val="center"/>
          </w:tcPr>
          <w:p>
            <w:pPr>
              <w:spacing w:line="0" w:lineRule="atLeast"/>
              <w:ind w:firstLine="0"/>
              <w:rPr>
                <w:rFonts w:hint="eastAsia" w:ascii="宋体" w:hAnsi="宋体" w:eastAsia="宋体" w:cs="宋体"/>
                <w:sz w:val="18"/>
                <w:szCs w:val="18"/>
              </w:rPr>
            </w:pPr>
            <w:r>
              <w:rPr>
                <w:rFonts w:hint="eastAsia" w:ascii="宋体" w:hAnsi="宋体" w:eastAsia="宋体" w:cs="宋体"/>
                <w:sz w:val="18"/>
                <w:szCs w:val="18"/>
              </w:rPr>
              <w:t>产品设计工程技术人员</w:t>
            </w:r>
          </w:p>
          <w:p>
            <w:pPr>
              <w:spacing w:line="0" w:lineRule="atLeast"/>
              <w:ind w:firstLine="0"/>
              <w:rPr>
                <w:rFonts w:hint="eastAsia" w:ascii="宋体" w:hAnsi="宋体" w:eastAsia="宋体" w:cs="宋体"/>
                <w:sz w:val="18"/>
                <w:szCs w:val="18"/>
              </w:rPr>
            </w:pPr>
            <w:r>
              <w:rPr>
                <w:rFonts w:hint="eastAsia" w:ascii="宋体" w:hAnsi="宋体" w:eastAsia="宋体" w:cs="宋体"/>
                <w:sz w:val="18"/>
                <w:szCs w:val="18"/>
              </w:rPr>
              <w:t>（2-02-34-01）工业设计工程技术人员</w:t>
            </w:r>
          </w:p>
          <w:p>
            <w:pPr>
              <w:spacing w:line="0" w:lineRule="atLeast"/>
              <w:ind w:firstLine="0"/>
              <w:rPr>
                <w:rFonts w:hint="eastAsia" w:ascii="宋体" w:hAnsi="宋体" w:eastAsia="宋体" w:cs="宋体"/>
                <w:sz w:val="18"/>
                <w:szCs w:val="18"/>
              </w:rPr>
            </w:pPr>
            <w:r>
              <w:rPr>
                <w:rFonts w:hint="eastAsia" w:ascii="宋体" w:hAnsi="宋体" w:eastAsia="宋体" w:cs="宋体"/>
                <w:sz w:val="18"/>
                <w:szCs w:val="18"/>
              </w:rPr>
              <w:t>（2-02-34-02）玩具设计师（4-08-08-10）</w:t>
            </w:r>
          </w:p>
        </w:tc>
        <w:tc>
          <w:tcPr>
            <w:tcW w:w="1278" w:type="dxa"/>
            <w:noWrap w:val="0"/>
            <w:vAlign w:val="center"/>
          </w:tcPr>
          <w:p>
            <w:pPr>
              <w:spacing w:line="0" w:lineRule="atLeast"/>
              <w:ind w:firstLine="0"/>
              <w:rPr>
                <w:rFonts w:hint="eastAsia" w:ascii="宋体" w:hAnsi="宋体" w:eastAsia="宋体" w:cs="宋体"/>
                <w:sz w:val="18"/>
                <w:szCs w:val="18"/>
                <w:lang w:val="zh-TW" w:eastAsia="zh-TW"/>
              </w:rPr>
            </w:pPr>
            <w:r>
              <w:rPr>
                <w:rFonts w:hint="eastAsia" w:ascii="宋体" w:hAnsi="宋体" w:eastAsia="宋体" w:cs="宋体"/>
                <w:sz w:val="18"/>
                <w:szCs w:val="18"/>
                <w:lang w:val="zh-TW" w:eastAsia="zh-TW"/>
              </w:rPr>
              <w:t>产品设计师</w:t>
            </w:r>
          </w:p>
          <w:p>
            <w:pPr>
              <w:spacing w:line="0" w:lineRule="atLeast"/>
              <w:ind w:firstLine="0"/>
              <w:rPr>
                <w:rFonts w:hint="eastAsia" w:ascii="宋体" w:hAnsi="宋体" w:eastAsia="宋体" w:cs="宋体"/>
                <w:sz w:val="18"/>
                <w:szCs w:val="18"/>
                <w:lang w:val="zh-TW" w:eastAsia="zh-TW"/>
              </w:rPr>
            </w:pPr>
            <w:r>
              <w:rPr>
                <w:rFonts w:hint="eastAsia" w:ascii="宋体" w:hAnsi="宋体" w:eastAsia="宋体" w:cs="宋体"/>
                <w:sz w:val="18"/>
                <w:szCs w:val="18"/>
                <w:lang w:val="zh-TW" w:eastAsia="zh-TW"/>
              </w:rPr>
              <w:t>3D 打印造型师交互设计师</w:t>
            </w:r>
          </w:p>
          <w:p>
            <w:pPr>
              <w:spacing w:line="0" w:lineRule="atLeast"/>
              <w:ind w:firstLine="0"/>
              <w:rPr>
                <w:rFonts w:hint="eastAsia" w:ascii="宋体" w:hAnsi="宋体" w:eastAsia="宋体" w:cs="宋体"/>
                <w:sz w:val="18"/>
                <w:szCs w:val="18"/>
                <w:lang w:val="zh-TW" w:eastAsia="zh-TW"/>
              </w:rPr>
            </w:pPr>
            <w:r>
              <w:rPr>
                <w:rFonts w:hint="eastAsia" w:ascii="宋体" w:hAnsi="宋体" w:eastAsia="宋体" w:cs="宋体"/>
                <w:sz w:val="18"/>
                <w:szCs w:val="18"/>
                <w:lang w:val="zh-TW" w:eastAsia="zh-TW"/>
              </w:rPr>
              <w:t>UI 设计师</w:t>
            </w:r>
          </w:p>
          <w:p>
            <w:pPr>
              <w:spacing w:line="0" w:lineRule="atLeast"/>
              <w:ind w:firstLine="0"/>
              <w:rPr>
                <w:rFonts w:hint="eastAsia" w:ascii="宋体" w:hAnsi="宋体" w:eastAsia="宋体" w:cs="宋体"/>
                <w:sz w:val="18"/>
                <w:szCs w:val="18"/>
                <w:lang w:val="zh-TW" w:eastAsia="zh-TW"/>
              </w:rPr>
            </w:pPr>
            <w:r>
              <w:rPr>
                <w:rFonts w:hint="eastAsia" w:ascii="宋体" w:hAnsi="宋体" w:eastAsia="宋体" w:cs="宋体"/>
                <w:sz w:val="18"/>
                <w:szCs w:val="18"/>
                <w:lang w:val="zh-TW" w:eastAsia="zh-TW"/>
              </w:rPr>
              <w:t>用户研究助理玩具设计师</w:t>
            </w:r>
          </w:p>
        </w:tc>
        <w:tc>
          <w:tcPr>
            <w:tcW w:w="2520" w:type="dxa"/>
            <w:noWrap w:val="0"/>
            <w:vAlign w:val="center"/>
          </w:tcPr>
          <w:p>
            <w:pPr>
              <w:pStyle w:val="4"/>
              <w:shd w:val="clear" w:color="auto" w:fill="FFFFFF"/>
              <w:ind w:left="0" w:leftChars="0" w:firstLine="0" w:firstLineChars="0"/>
              <w:rPr>
                <w:rFonts w:hint="eastAsia" w:ascii="宋体" w:hAnsi="宋体" w:eastAsia="宋体" w:cs="宋体"/>
                <w:sz w:val="18"/>
                <w:szCs w:val="18"/>
                <w:lang w:val="en-US" w:eastAsia="zh-CN"/>
              </w:rPr>
            </w:pPr>
            <w:r>
              <w:rPr>
                <w:rFonts w:hint="eastAsia" w:ascii="宋体" w:hAnsi="宋体" w:eastAsia="宋体" w:cs="宋体"/>
                <w:sz w:val="18"/>
                <w:szCs w:val="18"/>
              </w:rPr>
              <w:t>1+X数字创意建模职业技能等级证书</w:t>
            </w:r>
            <w:r>
              <w:rPr>
                <w:rFonts w:hint="eastAsia" w:ascii="宋体" w:hAnsi="宋体" w:eastAsia="宋体" w:cs="宋体"/>
                <w:sz w:val="18"/>
                <w:szCs w:val="18"/>
                <w:lang w:val="zh-TW" w:eastAsia="zh-TW"/>
              </w:rPr>
              <w:t xml:space="preserve">/  </w:t>
            </w:r>
            <w:r>
              <w:rPr>
                <w:rFonts w:hint="eastAsia" w:ascii="宋体" w:hAnsi="宋体" w:eastAsia="宋体" w:cs="宋体"/>
                <w:sz w:val="18"/>
                <w:szCs w:val="18"/>
              </w:rPr>
              <w:t>1+X数字媒体交互设计职业技能等级证书</w:t>
            </w:r>
            <w:r>
              <w:rPr>
                <w:rFonts w:hint="eastAsia" w:ascii="宋体" w:hAnsi="宋体" w:eastAsia="宋体" w:cs="宋体"/>
                <w:sz w:val="18"/>
                <w:szCs w:val="18"/>
                <w:lang w:val="en-US" w:eastAsia="zh-CN"/>
              </w:rPr>
              <w:t>/</w:t>
            </w:r>
            <w:r>
              <w:rPr>
                <w:rFonts w:hint="eastAsia" w:ascii="宋体" w:hAnsi="宋体" w:eastAsia="宋体" w:cs="宋体"/>
                <w:sz w:val="18"/>
                <w:szCs w:val="18"/>
              </w:rPr>
              <w:t>平面设计师</w:t>
            </w:r>
            <w:r>
              <w:rPr>
                <w:rFonts w:hint="eastAsia" w:ascii="宋体" w:hAnsi="宋体" w:eastAsia="宋体" w:cs="宋体"/>
                <w:sz w:val="18"/>
                <w:szCs w:val="18"/>
                <w:lang w:val="en-US" w:eastAsia="zh-CN"/>
              </w:rPr>
              <w:t>/</w:t>
            </w:r>
            <w:r>
              <w:rPr>
                <w:rFonts w:hint="eastAsia" w:ascii="宋体" w:hAnsi="宋体" w:eastAsia="宋体" w:cs="宋体"/>
                <w:sz w:val="18"/>
                <w:szCs w:val="18"/>
              </w:rPr>
              <w:t>Adobe国际认证系列证书(Adobe Certified Associate/Professional)</w:t>
            </w:r>
            <w:r>
              <w:rPr>
                <w:rFonts w:hint="eastAsia" w:ascii="宋体" w:hAnsi="宋体" w:eastAsia="宋体" w:cs="宋体"/>
                <w:sz w:val="18"/>
                <w:szCs w:val="18"/>
                <w:lang w:val="en-US" w:eastAsia="zh-CN"/>
              </w:rPr>
              <w:t>/</w:t>
            </w:r>
            <w:r>
              <w:rPr>
                <w:rFonts w:hint="eastAsia" w:ascii="宋体" w:hAnsi="宋体" w:eastAsia="宋体" w:cs="宋体"/>
                <w:sz w:val="18"/>
                <w:szCs w:val="18"/>
              </w:rPr>
              <w:t>ACAA数字艺术系列证书</w:t>
            </w:r>
          </w:p>
          <w:p>
            <w:pPr>
              <w:pStyle w:val="4"/>
              <w:shd w:val="clear" w:color="auto" w:fill="FFFFFF"/>
              <w:rPr>
                <w:rFonts w:hint="eastAsia" w:ascii="宋体" w:hAnsi="宋体" w:eastAsia="宋体" w:cs="宋体"/>
                <w:sz w:val="18"/>
                <w:szCs w:val="18"/>
                <w:lang w:val="zh-TW" w:eastAsia="zh-TW"/>
              </w:rPr>
            </w:pPr>
          </w:p>
        </w:tc>
      </w:tr>
    </w:tbl>
    <w:p>
      <w:pPr>
        <w:spacing w:line="240" w:lineRule="auto"/>
        <w:ind w:firstLine="0"/>
        <w:rPr>
          <w:rFonts w:hint="eastAsia" w:ascii="黑体" w:hAnsi="黑体" w:eastAsia="黑体" w:cs="Times New Roman"/>
          <w:b w:val="0"/>
          <w:bCs/>
          <w:spacing w:val="0"/>
          <w:kern w:val="2"/>
          <w:position w:val="0"/>
          <w:sz w:val="24"/>
          <w:szCs w:val="24"/>
          <w:lang w:val="en-US" w:eastAsia="zh-CN" w:bidi="ar-SA"/>
        </w:rPr>
      </w:pP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5" w:name="_Toc13140"/>
      <w:r>
        <w:rPr>
          <w:rFonts w:hint="eastAsia" w:ascii="黑体" w:hAnsi="黑体" w:eastAsia="黑体" w:cs="Times New Roman"/>
          <w:b w:val="0"/>
          <w:bCs/>
          <w:kern w:val="2"/>
          <w:sz w:val="24"/>
          <w:szCs w:val="24"/>
          <w:lang w:val="en-US" w:eastAsia="zh-CN"/>
        </w:rPr>
        <w:t>五、培养目标与培养规格</w:t>
      </w:r>
      <w:bookmarkEnd w:id="5"/>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Times New Roman" w:hAnsi="Times New Roman" w:cs="Times New Roman"/>
          <w:spacing w:val="0"/>
          <w:kern w:val="2"/>
          <w:position w:val="0"/>
          <w:sz w:val="24"/>
          <w:szCs w:val="24"/>
        </w:rPr>
      </w:pPr>
      <w:r>
        <w:rPr>
          <w:rFonts w:hint="eastAsia" w:ascii="Times New Roman" w:hAnsi="Times New Roman" w:cs="Times New Roman"/>
          <w:spacing w:val="0"/>
          <w:kern w:val="2"/>
          <w:position w:val="0"/>
          <w:sz w:val="24"/>
          <w:szCs w:val="24"/>
        </w:rPr>
        <w:t>（一）培养目标</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rPr>
        <w:t xml:space="preserve">   </w:t>
      </w:r>
      <w:r>
        <w:rPr>
          <w:rFonts w:hint="eastAsia" w:ascii="Times New Roman" w:hAnsi="Times New Roman" w:cs="Times New Roman"/>
          <w:spacing w:val="0"/>
          <w:kern w:val="2"/>
          <w:position w:val="0"/>
          <w:szCs w:val="21"/>
          <w:lang w:val="zh-TW" w:eastAsia="zh-TW"/>
        </w:rPr>
        <w:t>产品艺术设计专业培养理想信念坚定，德、智、体、美、劳全面发展，具有一定的科学文化水平，良好的人文素养、职业道德和创新意识，精益求精的工匠精神，较强的就业能力和可持续发展的能力；掌握掌握设计相关专业技术技能，具备认知能力、合作能力、创新能力、职业能力等支撑终身发展、适应时代要求的关键能力，具有较强的就业创业能力，面向设计与加工制造领域，能够从事产品设计、文创产品开发与相关美术、设计服务等工作的高素质技术技能人才。</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Times New Roman" w:hAnsi="Times New Roman" w:cs="Times New Roman"/>
          <w:spacing w:val="0"/>
          <w:kern w:val="2"/>
          <w:position w:val="0"/>
          <w:sz w:val="24"/>
          <w:szCs w:val="24"/>
        </w:rPr>
      </w:pPr>
      <w:r>
        <w:rPr>
          <w:rFonts w:hint="eastAsia" w:ascii="Times New Roman" w:hAnsi="Times New Roman" w:cs="Times New Roman"/>
          <w:spacing w:val="0"/>
          <w:kern w:val="2"/>
          <w:position w:val="0"/>
          <w:sz w:val="24"/>
          <w:szCs w:val="24"/>
        </w:rPr>
        <w:t>（二）培养规格</w:t>
      </w:r>
    </w:p>
    <w:p>
      <w:pPr>
        <w:spacing w:line="240" w:lineRule="auto"/>
        <w:ind w:firstLine="0"/>
        <w:jc w:val="left"/>
        <w:rPr>
          <w:rFonts w:hint="eastAsia" w:ascii="仿宋" w:hAnsi="仿宋" w:eastAsia="仿宋" w:cs="仿宋"/>
          <w:sz w:val="24"/>
          <w:lang w:val="zh-TW" w:eastAsia="zh-TW"/>
        </w:rPr>
      </w:pPr>
      <w:r>
        <w:rPr>
          <w:rFonts w:hint="eastAsia" w:ascii="仿宋" w:hAnsi="仿宋" w:eastAsia="仿宋" w:cs="仿宋"/>
          <w:sz w:val="24"/>
          <w:lang w:val="zh-TW" w:eastAsia="zh-TW"/>
        </w:rPr>
        <w:t xml:space="preserve">   </w:t>
      </w:r>
      <w:r>
        <w:rPr>
          <w:rFonts w:ascii="仿宋" w:hAnsi="仿宋" w:eastAsia="仿宋" w:cs="仿宋"/>
          <w:sz w:val="24"/>
          <w:lang w:val="zh-TW" w:eastAsia="zh-TW"/>
        </w:rPr>
        <w:t>培养规格是培养目标的具体化，由素质、知识、能力三个方面的要求组成。注重在培养学生基础知识和基本技能的过程中，强化学生关键能力培养。</w:t>
      </w:r>
    </w:p>
    <w:p>
      <w:pPr>
        <w:spacing w:line="240" w:lineRule="auto"/>
        <w:ind w:left="0" w:firstLine="0"/>
        <w:rPr>
          <w:rFonts w:ascii="Calibri" w:hAnsi="Calibri" w:eastAsia="方正仿宋简体" w:cs="Times New Roman"/>
          <w:sz w:val="24"/>
          <w:szCs w:val="24"/>
          <w:lang w:val="zh-TW" w:eastAsia="zh-TW"/>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1.素质</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1）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（2）具有良好的职业道德和职业素养。履行道德准则和行为规范；尊重劳动、热爱劳动；崇德向善、诚实守信、爱岗敬业，具有精益求精的工匠精神；具有较强的集体意识和团队合作精神。</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（3）具有质量意识、绿色环保意识、安全意识、职业生涯规划意识等；具有从事相关职业应具备的其他职业素养要求。</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（4）具有良好的身心素质和人文素养。达到《国家学生体质健康标准》要求，具有健康的体魄和心理、健全的人格；具有一定的审美和人文素养。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2.知识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（1）掌握透视基本原理、有基础造型和设计知识；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（2）掌握产品设计常用创新发散思维方法；</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（3）掌握制图、绘图相关规范，能熟练使用各类软件与制图工具；</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（4）具有一定职业素养，有开阔的视野，善于沟通合作；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（5）具有职业安全、健康保护能力及环保意识，对设计行业相关新技术新趋势有一定的了解；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（6）了解各类艺术形式，具有一定审美。</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3.能力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（1）掌握一定造型能力和设计能力；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（2）能够完成从草图到计算机辅助设计三维建模渲染一应俱全的设计效果图绘制，掌握基本的模型制作技术，能进行3D打印基本操作；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（3）具备创造性地解决问题的能力，有开阔的专业视野，具备一定的信息加工能力；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（4）能具备从事文创产品开发、从事设计相关服务工作的基本能力。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（5）具备一定创新创业意识和能力。</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6" w:name="_Toc18710"/>
      <w:r>
        <w:rPr>
          <w:rFonts w:hint="eastAsia" w:ascii="黑体" w:hAnsi="黑体" w:eastAsia="黑体" w:cs="Times New Roman"/>
          <w:b w:val="0"/>
          <w:bCs/>
          <w:kern w:val="2"/>
          <w:sz w:val="24"/>
          <w:szCs w:val="24"/>
          <w:lang w:val="en-US" w:eastAsia="zh-CN"/>
        </w:rPr>
        <w:t>六、课程设置及要求</w:t>
      </w:r>
      <w:bookmarkEnd w:id="6"/>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主要包括公共基础课程和专业课程。</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（一）公共基础课程</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公共基础课主要包括：</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 xml:space="preserve">    中国特色社会主义理论体系、思想道德修养与法律基础、实用英语、体育、计算机应用基础、军事理论与训练、习近平新时代中国特色社会主义思想概论、职业生涯规划与职业指导、形势与政策、心理健康教育、公共选修课等。</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p>
    <w:p>
      <w:pPr>
        <w:pStyle w:val="9"/>
        <w:spacing w:line="276" w:lineRule="auto"/>
        <w:ind w:firstLine="422" w:firstLineChars="200"/>
        <w:jc w:val="center"/>
        <w:rPr>
          <w:rFonts w:eastAsia="PMingLiU"/>
          <w:b/>
          <w:bCs/>
          <w:szCs w:val="21"/>
        </w:rPr>
      </w:pPr>
      <w:r>
        <w:rPr>
          <w:rFonts w:hint="eastAsia" w:ascii="仿宋" w:hAnsi="仿宋" w:eastAsia="仿宋" w:cs="仿宋"/>
          <w:b/>
          <w:bCs/>
          <w:color w:val="000000"/>
          <w:sz w:val="21"/>
          <w:szCs w:val="21"/>
        </w:rPr>
        <w:t>表2 公共基础课程主要教学内容与要求</w:t>
      </w:r>
    </w:p>
    <w:tbl>
      <w:tblPr>
        <w:tblStyle w:val="7"/>
        <w:tblW w:w="0" w:type="auto"/>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1021"/>
        <w:gridCol w:w="5642"/>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blHeader/>
        </w:trPr>
        <w:tc>
          <w:tcPr>
            <w:tcW w:w="397"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序号</w:t>
            </w:r>
          </w:p>
        </w:tc>
        <w:tc>
          <w:tcPr>
            <w:tcW w:w="1021" w:type="dxa"/>
            <w:noWrap w:val="0"/>
            <w:vAlign w:val="center"/>
          </w:tcPr>
          <w:p>
            <w:pPr>
              <w:pStyle w:val="10"/>
              <w:bidi w:val="0"/>
              <w:ind w:left="0" w:leftChars="0"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课程</w:t>
            </w:r>
          </w:p>
        </w:tc>
        <w:tc>
          <w:tcPr>
            <w:tcW w:w="5642" w:type="dxa"/>
            <w:noWrap w:val="0"/>
            <w:vAlign w:val="center"/>
          </w:tcPr>
          <w:p>
            <w:pPr>
              <w:pStyle w:val="10"/>
              <w:bidi w:val="0"/>
              <w:jc w:val="center"/>
              <w:rPr>
                <w:rFonts w:hint="eastAsia" w:ascii="宋体" w:hAnsi="宋体" w:eastAsia="宋体" w:cs="宋体"/>
                <w:b w:val="0"/>
                <w:bCs/>
                <w:sz w:val="18"/>
                <w:szCs w:val="18"/>
              </w:rPr>
            </w:pPr>
            <w:r>
              <w:rPr>
                <w:rFonts w:hint="eastAsia" w:ascii="宋体" w:hAnsi="宋体" w:eastAsia="宋体" w:cs="宋体"/>
                <w:b w:val="0"/>
                <w:bCs/>
                <w:sz w:val="18"/>
                <w:szCs w:val="18"/>
              </w:rPr>
              <w:t>主要教学内容与要求</w:t>
            </w:r>
          </w:p>
        </w:tc>
        <w:tc>
          <w:tcPr>
            <w:tcW w:w="722" w:type="dxa"/>
            <w:noWrap w:val="0"/>
            <w:vAlign w:val="center"/>
          </w:tcPr>
          <w:p>
            <w:pPr>
              <w:pStyle w:val="10"/>
              <w:bidi w:val="0"/>
              <w:ind w:left="0" w:leftChars="0"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1</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毛泽东思想和中国特色社会主义理论体系概论</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内容：毛泽东思想及其历史地位、新民主主义革命理论、社会主义改造理论、社会主义建设道路初步探索的理论成果、“三个代表”重要思想、习近平新时代中国特色社会主义思想及其历史地位。</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trPr>
        <w:tc>
          <w:tcPr>
            <w:tcW w:w="397"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2</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思想道德修养与法律基础</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内容：坚定理想信念、弘扬中国精神、践行社会主义核心价值观、明大德守公德严私德。</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要求：教育学生加强思想道德修养，继承和弘扬中华传统美德和中国革命道德，树立为人民服务的思想，弘扬集体主义精神，培养良好的道德品质和高尚的道德人格。</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实用英语</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内容：课堂交流；介绍、问候、感谢、致谦、道别、指路等日常交际；阅读与翻译科普、人物、政治、商贸等一般题材的文字材料。</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4</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体育</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内容：体育理论、身体素质、篮球、排球。</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要求：掌握各项目的动作技能、培养吃苦耐劳，顽强拼搏的意志品质。</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5</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计算机应用基础</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内容：计算机基础知识、Win7操作系统、Word软件、Excel软件、PowerPoint软件、多媒体、网络基础应用、网页制作。</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要求：能达到“全国计算机等级考试”一级的考试大纲的要求。</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6</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大学生安全教育</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内容：饮食安全、学习安全、交通安全、人身安全、财产安全、网络安全、心理安全、社会实践安全、消防安全、国家安全以及救护知识等。</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要求：养成良好的安全习惯，提高安全意识，掌握安全知识和防范技能，增强自我防范能力。</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7</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军事理论与训练</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内容：中国国防、军事思想、信息化战争、战略环境。</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8</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职业生涯规划与职业指导</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内容：掌握职业生涯设计、职业道德、职场法律、职业礼仪、职业精神、求职申请与面试准备、求职面试技巧、创业规划和实施。</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要求：培养学生通用的职业意识，提高其可雇用能力。</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9</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形势与政策</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内容：根据教育部每学期发布的最新形势与政策课教学要点，结合学校实际灵活选择相应主题开展教学。</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要求：帮助学生认清国内外形势，增强学生的爱国主义责任感和使命感。</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10</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创业意识与创业技巧</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内容：创业意识、创业环境认知与项目选择、模拟创业、创业项目运营，创业意识培养、找准创业项目、建立创业团队。</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要求：引导学生通过体验性学习，培养创业意识，掌握创业技巧。</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1</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心理健康教育</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内容：心理保健知识。</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要求：培养创造性思维，训练坚强意志，优化心理品质，培养健全人格，开发心理潜能，促进全面人才。</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2</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大学语文</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内容：日常生活中常用的应用文体。</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要求：能按岗位要求完成书面写作。</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center"/>
          </w:tcPr>
          <w:p>
            <w:pPr>
              <w:pStyle w:val="10"/>
              <w:bidi w:val="0"/>
              <w:rPr>
                <w:rFonts w:hint="eastAsia" w:ascii="宋体" w:hAnsi="宋体" w:eastAsia="宋体" w:cs="宋体"/>
                <w:b w:val="0"/>
                <w:bCs/>
                <w:sz w:val="18"/>
                <w:szCs w:val="18"/>
                <w:lang w:eastAsia="zh-CN"/>
              </w:rPr>
            </w:pP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3</w:t>
            </w:r>
          </w:p>
        </w:tc>
        <w:tc>
          <w:tcPr>
            <w:tcW w:w="1021" w:type="dxa"/>
            <w:noWrap w:val="0"/>
            <w:vAlign w:val="center"/>
          </w:tcPr>
          <w:p>
            <w:pPr>
              <w:pStyle w:val="10"/>
              <w:bidi w:val="0"/>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劳动教育</w:t>
            </w:r>
          </w:p>
        </w:tc>
        <w:tc>
          <w:tcPr>
            <w:tcW w:w="5642" w:type="dxa"/>
            <w:noWrap w:val="0"/>
            <w:vAlign w:val="center"/>
          </w:tcPr>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内容：劳动观点、劳动习惯。</w:t>
            </w:r>
          </w:p>
          <w:p>
            <w:pPr>
              <w:pStyle w:val="10"/>
              <w:bidi w:val="0"/>
              <w:ind w:left="0" w:leftChars="0"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要求：树立学生正确的劳动观点，培养学生热爱劳动和劳动人民的情感。养成劳动的习惯。</w:t>
            </w:r>
          </w:p>
        </w:tc>
        <w:tc>
          <w:tcPr>
            <w:tcW w:w="722" w:type="dxa"/>
            <w:noWrap w:val="0"/>
            <w:vAlign w:val="center"/>
          </w:tcPr>
          <w:p>
            <w:pPr>
              <w:pStyle w:val="10"/>
              <w:bidi w:val="0"/>
              <w:rPr>
                <w:rFonts w:hint="eastAsia" w:ascii="宋体" w:hAnsi="宋体" w:eastAsia="宋体" w:cs="宋体"/>
                <w:b w:val="0"/>
                <w:bCs/>
                <w:sz w:val="18"/>
                <w:szCs w:val="18"/>
              </w:rPr>
            </w:pPr>
            <w:r>
              <w:rPr>
                <w:rFonts w:hint="eastAsia" w:ascii="宋体" w:hAnsi="宋体" w:eastAsia="宋体" w:cs="宋体"/>
                <w:b w:val="0"/>
                <w:bCs/>
                <w:sz w:val="18"/>
                <w:szCs w:val="18"/>
              </w:rPr>
              <w:t>16</w:t>
            </w:r>
          </w:p>
        </w:tc>
      </w:tr>
    </w:tbl>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en-US" w:eastAsia="zh-CN"/>
        </w:rPr>
      </w:pPr>
      <w:r>
        <w:rPr>
          <w:rFonts w:hint="eastAsia" w:ascii="Times New Roman" w:hAnsi="Times New Roman" w:cs="Times New Roman"/>
          <w:spacing w:val="0"/>
          <w:kern w:val="2"/>
          <w:position w:val="0"/>
          <w:sz w:val="24"/>
          <w:szCs w:val="24"/>
          <w:lang w:val="en-US" w:eastAsia="zh-CN"/>
        </w:rPr>
        <w:t>（二）专业课程</w:t>
      </w:r>
    </w:p>
    <w:p>
      <w:pPr>
        <w:ind w:firstLine="480"/>
        <w:rPr>
          <w:color w:val="000000"/>
          <w:sz w:val="19"/>
          <w:szCs w:val="19"/>
          <w:lang w:bidi="zh-TW"/>
        </w:rPr>
      </w:pPr>
      <w:r>
        <w:rPr>
          <w:rFonts w:hint="eastAsia" w:ascii="仿宋" w:hAnsi="仿宋" w:eastAsia="仿宋" w:cs="仿宋"/>
          <w:sz w:val="24"/>
          <w:lang w:val="en-US" w:eastAsia="zh-CN"/>
        </w:rPr>
        <w:t xml:space="preserve">   </w:t>
      </w:r>
      <w:r>
        <w:rPr>
          <w:rFonts w:hint="eastAsia" w:ascii="Times New Roman" w:hAnsi="Times New Roman" w:cs="Times New Roman"/>
          <w:spacing w:val="0"/>
          <w:kern w:val="2"/>
          <w:position w:val="0"/>
          <w:szCs w:val="21"/>
          <w:lang w:val="en-US" w:eastAsia="zh-CN"/>
        </w:rPr>
        <w:t xml:space="preserve"> 专业课程分为专业必修课程和专业选修课程。专业课程设置与培养目标相适应，课程内容紧密联系生产劳动实际和社会实践，突出应用性和实践性，注重学生职业能力和职业精神的培养。依据专业教学标准，对照相应职业岗位（群）的能力要求，确定6门专业核心课程，并明确教学内容及要求。专业课程设置注重引导和体现理实一体化教学。其中</w:t>
      </w:r>
      <w:r>
        <w:rPr>
          <w:rFonts w:hint="eastAsia" w:ascii="Times New Roman" w:hAnsi="Times New Roman" w:cs="Times New Roman"/>
          <w:spacing w:val="0"/>
          <w:kern w:val="2"/>
          <w:position w:val="0"/>
          <w:szCs w:val="21"/>
        </w:rPr>
        <w:t>计算机辅助设计－RHINO</w:t>
      </w:r>
      <w:r>
        <w:rPr>
          <w:rFonts w:hint="eastAsia" w:ascii="Times New Roman" w:hAnsi="Times New Roman" w:cs="Times New Roman"/>
          <w:spacing w:val="0"/>
          <w:kern w:val="2"/>
          <w:position w:val="0"/>
          <w:szCs w:val="21"/>
          <w:lang w:val="en-US" w:eastAsia="zh-CN"/>
        </w:rPr>
        <w:t>与</w:t>
      </w:r>
      <w:r>
        <w:rPr>
          <w:rFonts w:hint="eastAsia" w:ascii="Times New Roman" w:hAnsi="Times New Roman" w:cs="Times New Roman"/>
          <w:spacing w:val="0"/>
          <w:kern w:val="2"/>
          <w:position w:val="0"/>
          <w:szCs w:val="21"/>
        </w:rPr>
        <w:t>设计与智能制造</w:t>
      </w:r>
      <w:r>
        <w:rPr>
          <w:rFonts w:hint="eastAsia" w:ascii="Times New Roman" w:hAnsi="Times New Roman" w:cs="Times New Roman"/>
          <w:spacing w:val="0"/>
          <w:kern w:val="2"/>
          <w:position w:val="0"/>
          <w:szCs w:val="21"/>
          <w:lang w:val="en-US" w:eastAsia="zh-CN"/>
        </w:rPr>
        <w:t>两门课程对接1+X技能证书考证要求</w:t>
      </w:r>
      <w:r>
        <w:rPr>
          <w:rFonts w:hint="eastAsia" w:ascii="Times New Roman" w:hAnsi="Times New Roman" w:cs="Times New Roman"/>
          <w:spacing w:val="0"/>
          <w:kern w:val="2"/>
          <w:position w:val="0"/>
          <w:szCs w:val="21"/>
        </w:rPr>
        <w:t>。</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en-US" w:eastAsia="zh-CN"/>
        </w:rPr>
      </w:pPr>
      <w:r>
        <w:rPr>
          <w:rFonts w:hint="eastAsia" w:ascii="Times New Roman" w:hAnsi="Times New Roman" w:cs="Times New Roman"/>
          <w:spacing w:val="0"/>
          <w:kern w:val="2"/>
          <w:position w:val="0"/>
          <w:sz w:val="24"/>
          <w:szCs w:val="24"/>
          <w:lang w:val="en-US" w:eastAsia="zh-CN"/>
        </w:rPr>
        <w:t>（三）专业核心课程主要教学内容</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en-US" w:eastAsia="zh-CN"/>
        </w:rPr>
      </w:pPr>
      <w:r>
        <w:rPr>
          <w:rFonts w:hint="eastAsia" w:ascii="Times New Roman" w:hAnsi="Times New Roman" w:cs="Times New Roman"/>
          <w:spacing w:val="0"/>
          <w:kern w:val="2"/>
          <w:position w:val="0"/>
          <w:szCs w:val="21"/>
          <w:lang w:val="en-US" w:eastAsia="zh-CN"/>
        </w:rPr>
        <w:t>专业核心课程主要教学内容如表2所示</w:t>
      </w:r>
    </w:p>
    <w:p>
      <w:pPr>
        <w:spacing w:line="600" w:lineRule="exact"/>
        <w:ind w:firstLine="422"/>
        <w:jc w:val="center"/>
        <w:rPr>
          <w:rFonts w:hint="eastAsia" w:ascii="仿宋" w:hAnsi="仿宋" w:eastAsia="仿宋" w:cs="仿宋"/>
          <w:b/>
          <w:bCs/>
          <w:color w:val="000000"/>
          <w:spacing w:val="0"/>
          <w:kern w:val="2"/>
          <w:position w:val="0"/>
          <w:sz w:val="21"/>
          <w:szCs w:val="21"/>
          <w:lang w:val="zh-TW" w:eastAsia="zh-TW" w:bidi="zh-TW"/>
        </w:rPr>
      </w:pPr>
      <w:r>
        <w:rPr>
          <w:rFonts w:hint="eastAsia" w:ascii="仿宋" w:hAnsi="仿宋" w:eastAsia="仿宋" w:cs="仿宋"/>
          <w:b/>
          <w:bCs/>
          <w:color w:val="000000"/>
          <w:spacing w:val="0"/>
          <w:kern w:val="2"/>
          <w:position w:val="0"/>
          <w:sz w:val="21"/>
          <w:szCs w:val="21"/>
          <w:lang w:val="zh-CN" w:eastAsia="zh-TW" w:bidi="zh-TW"/>
        </w:rPr>
        <w:t>表</w:t>
      </w:r>
      <w:r>
        <w:rPr>
          <w:rFonts w:hint="eastAsia" w:ascii="仿宋" w:hAnsi="仿宋" w:eastAsia="仿宋" w:cs="仿宋"/>
          <w:b/>
          <w:bCs/>
          <w:color w:val="000000"/>
          <w:spacing w:val="0"/>
          <w:kern w:val="2"/>
          <w:position w:val="0"/>
          <w:sz w:val="21"/>
          <w:szCs w:val="21"/>
          <w:lang w:val="en-US" w:eastAsia="zh-CN" w:bidi="zh-TW"/>
        </w:rPr>
        <w:t>3</w:t>
      </w:r>
      <w:r>
        <w:rPr>
          <w:rFonts w:hint="eastAsia" w:ascii="仿宋" w:hAnsi="仿宋" w:eastAsia="仿宋" w:cs="仿宋"/>
          <w:b/>
          <w:bCs/>
          <w:color w:val="000000"/>
          <w:spacing w:val="0"/>
          <w:kern w:val="2"/>
          <w:position w:val="0"/>
          <w:sz w:val="21"/>
          <w:szCs w:val="21"/>
          <w:lang w:val="zh-TW" w:eastAsia="zh-TW" w:bidi="zh-TW"/>
        </w:rPr>
        <w:t>专业核心课程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219"/>
        <w:gridCol w:w="5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Times New Roman" w:hAnsi="Times New Roman" w:cs="Times New Roman"/>
                <w:b/>
                <w:bCs/>
                <w:spacing w:val="0"/>
                <w:kern w:val="2"/>
                <w:position w:val="0"/>
                <w:sz w:val="18"/>
                <w:szCs w:val="18"/>
                <w:lang w:val="zh-TW" w:eastAsia="zh-TW"/>
              </w:rPr>
            </w:pPr>
            <w:r>
              <w:rPr>
                <w:rFonts w:hint="eastAsia" w:ascii="Times New Roman" w:hAnsi="Times New Roman" w:cs="Times New Roman"/>
                <w:b/>
                <w:bCs/>
                <w:spacing w:val="0"/>
                <w:kern w:val="2"/>
                <w:position w:val="0"/>
                <w:sz w:val="18"/>
                <w:szCs w:val="18"/>
                <w:lang w:val="zh-TW" w:eastAsia="zh-TW"/>
              </w:rPr>
              <w:t>序号</w:t>
            </w:r>
          </w:p>
        </w:tc>
        <w:tc>
          <w:tcPr>
            <w:tcW w:w="1219"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Times New Roman" w:hAnsi="Times New Roman" w:cs="Times New Roman"/>
                <w:b/>
                <w:bCs/>
                <w:spacing w:val="0"/>
                <w:kern w:val="2"/>
                <w:position w:val="0"/>
                <w:sz w:val="18"/>
                <w:szCs w:val="18"/>
                <w:lang w:val="zh-TW" w:eastAsia="zh-TW"/>
              </w:rPr>
            </w:pPr>
            <w:r>
              <w:rPr>
                <w:rFonts w:hint="eastAsia" w:ascii="Times New Roman" w:hAnsi="Times New Roman" w:cs="Times New Roman"/>
                <w:b/>
                <w:bCs/>
                <w:spacing w:val="0"/>
                <w:kern w:val="2"/>
                <w:position w:val="0"/>
                <w:sz w:val="18"/>
                <w:szCs w:val="18"/>
                <w:lang w:val="zh-TW" w:eastAsia="zh-TW"/>
              </w:rPr>
              <w:t>课程名称</w:t>
            </w:r>
          </w:p>
        </w:tc>
        <w:tc>
          <w:tcPr>
            <w:tcW w:w="5261"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Times New Roman" w:hAnsi="Times New Roman" w:cs="Times New Roman"/>
                <w:b/>
                <w:bCs/>
                <w:spacing w:val="0"/>
                <w:kern w:val="2"/>
                <w:position w:val="0"/>
                <w:sz w:val="18"/>
                <w:szCs w:val="18"/>
                <w:lang w:val="zh-TW" w:eastAsia="zh-TW"/>
              </w:rPr>
            </w:pPr>
            <w:r>
              <w:rPr>
                <w:rFonts w:hint="eastAsia" w:ascii="Times New Roman" w:hAnsi="Times New Roman" w:cs="Times New Roman"/>
                <w:b/>
                <w:bCs/>
                <w:spacing w:val="0"/>
                <w:kern w:val="2"/>
                <w:position w:val="0"/>
                <w:sz w:val="18"/>
                <w:szCs w:val="18"/>
                <w:lang w:val="zh-TW" w:eastAsia="zh-TW"/>
              </w:rPr>
              <w:t>主要教学内容及要求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1</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机械制图与ＣＡＤ</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内容：产品制图方法、规范与应用，三视图与正等轴测图图的识别与转换等。能熟练运用ＣＡＤ绘制产品。</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要求：掌握基本制图方法，具备识图读图能力，能绘制准确的工程类图。熟练掌握CAD基本命令，能依照项目特点选择合适快捷方法使用CAD软件。培养三维空间意识、基础造型能力和设计思维能力。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hint="eastAsia" w:ascii="Times New Roman" w:hAnsi="Times New Roman" w:cs="Times New Roman"/>
                <w:spacing w:val="0"/>
                <w:kern w:val="2"/>
                <w:position w:val="0"/>
                <w:sz w:val="18"/>
                <w:szCs w:val="18"/>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2</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计算机辅助设计－RHINO</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 xml:space="preserve">内容：RHINO建模，ＫＥＹＳＨＯＴ渲染。 </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要求：熟练掌握软件基本命令，能依照项目特点灵活使用软件建模渲染。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hint="eastAsia" w:ascii="Times New Roman" w:hAnsi="Times New Roman" w:cs="Times New Roman"/>
                <w:spacing w:val="0"/>
                <w:kern w:val="2"/>
                <w:position w:val="0"/>
                <w:sz w:val="18"/>
                <w:szCs w:val="18"/>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3</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产品改良设计</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内容：市场调研、２Ｄ设计表现与提案、３Ｄ设计模型展示等。</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要求：掌握相关理论知识，能依照要求完成产品的改良改进设计。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4</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模型设计与制作</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内容：模型制作的相关知识学习与实践。该课程内容包括产品外观模型制作与产品功能原型设计等。</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要求：掌握相关理论知识与模型制作方法，能独立思考完成模型制作过程设定，能动手制作产品模型与原型。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hint="eastAsia" w:ascii="Times New Roman" w:hAnsi="Times New Roman" w:cs="Times New Roman"/>
                <w:spacing w:val="0"/>
                <w:kern w:val="2"/>
                <w:position w:val="0"/>
                <w:sz w:val="18"/>
                <w:szCs w:val="18"/>
                <w:lang w:val="zh-TW"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5</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rPr>
              <w:t>材料造型与成型工艺</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内容：</w:t>
            </w:r>
            <w:r>
              <w:rPr>
                <w:rFonts w:hint="eastAsia" w:ascii="Times New Roman" w:hAnsi="Times New Roman" w:cs="Times New Roman"/>
                <w:spacing w:val="0"/>
                <w:kern w:val="2"/>
                <w:position w:val="0"/>
                <w:sz w:val="18"/>
                <w:szCs w:val="18"/>
                <w:lang w:val="zh-TW"/>
              </w:rPr>
              <w:t>材料</w:t>
            </w:r>
            <w:r>
              <w:rPr>
                <w:rFonts w:hint="eastAsia" w:ascii="Times New Roman" w:hAnsi="Times New Roman" w:cs="Times New Roman"/>
                <w:spacing w:val="0"/>
                <w:kern w:val="2"/>
                <w:position w:val="0"/>
                <w:sz w:val="18"/>
                <w:szCs w:val="18"/>
                <w:lang w:val="zh-TW" w:eastAsia="zh-TW"/>
              </w:rPr>
              <w:t>造型</w:t>
            </w:r>
            <w:r>
              <w:rPr>
                <w:rFonts w:hint="eastAsia" w:ascii="Times New Roman" w:hAnsi="Times New Roman" w:cs="Times New Roman"/>
                <w:spacing w:val="0"/>
                <w:kern w:val="2"/>
                <w:position w:val="0"/>
                <w:sz w:val="18"/>
                <w:szCs w:val="18"/>
                <w:lang w:val="zh-TW"/>
              </w:rPr>
              <w:t>成型</w:t>
            </w:r>
            <w:r>
              <w:rPr>
                <w:rFonts w:hint="eastAsia" w:ascii="Times New Roman" w:hAnsi="Times New Roman" w:cs="Times New Roman"/>
                <w:spacing w:val="0"/>
                <w:kern w:val="2"/>
                <w:position w:val="0"/>
                <w:sz w:val="18"/>
                <w:szCs w:val="18"/>
                <w:lang w:val="zh-TW" w:eastAsia="zh-TW"/>
              </w:rPr>
              <w:t>相关知识学习</w:t>
            </w:r>
            <w:r>
              <w:rPr>
                <w:rFonts w:hint="eastAsia" w:ascii="Times New Roman" w:hAnsi="Times New Roman" w:cs="Times New Roman"/>
                <w:spacing w:val="0"/>
                <w:kern w:val="2"/>
                <w:position w:val="0"/>
                <w:sz w:val="18"/>
                <w:szCs w:val="18"/>
                <w:lang w:val="zh-TW"/>
              </w:rPr>
              <w:t>，依托首饰工作室进行综合材料设计实践</w:t>
            </w:r>
            <w:r>
              <w:rPr>
                <w:rFonts w:hint="eastAsia" w:ascii="Times New Roman" w:hAnsi="Times New Roman" w:cs="Times New Roman"/>
                <w:spacing w:val="0"/>
                <w:kern w:val="2"/>
                <w:position w:val="0"/>
                <w:sz w:val="18"/>
                <w:szCs w:val="18"/>
                <w:lang w:val="zh-TW" w:eastAsia="zh-TW"/>
              </w:rPr>
              <w:t xml:space="preserve"> 。</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要求：有一定造型能力，</w:t>
            </w:r>
            <w:r>
              <w:rPr>
                <w:rFonts w:hint="eastAsia" w:ascii="Times New Roman" w:hAnsi="Times New Roman" w:cs="Times New Roman"/>
                <w:spacing w:val="0"/>
                <w:kern w:val="2"/>
                <w:position w:val="0"/>
                <w:sz w:val="18"/>
                <w:szCs w:val="18"/>
                <w:lang w:val="zh-TW"/>
              </w:rPr>
              <w:t>重点掌握材料基本工艺方法，</w:t>
            </w:r>
            <w:r>
              <w:rPr>
                <w:rFonts w:hint="eastAsia" w:ascii="Times New Roman" w:hAnsi="Times New Roman" w:cs="Times New Roman"/>
                <w:spacing w:val="0"/>
                <w:kern w:val="2"/>
                <w:position w:val="0"/>
                <w:sz w:val="18"/>
                <w:szCs w:val="18"/>
                <w:lang w:val="zh-TW" w:eastAsia="zh-TW"/>
              </w:rPr>
              <w:t>能进行</w:t>
            </w:r>
            <w:r>
              <w:rPr>
                <w:rFonts w:hint="eastAsia" w:ascii="Times New Roman" w:hAnsi="Times New Roman" w:cs="Times New Roman"/>
                <w:spacing w:val="0"/>
                <w:kern w:val="2"/>
                <w:position w:val="0"/>
                <w:sz w:val="18"/>
                <w:szCs w:val="18"/>
                <w:lang w:val="zh-TW"/>
              </w:rPr>
              <w:t>首饰设计实践</w:t>
            </w:r>
            <w:r>
              <w:rPr>
                <w:rFonts w:hint="eastAsia" w:ascii="Times New Roman" w:hAnsi="Times New Roman" w:cs="Times New Roman"/>
                <w:spacing w:val="0"/>
                <w:kern w:val="2"/>
                <w:position w:val="0"/>
                <w:sz w:val="18"/>
                <w:szCs w:val="18"/>
                <w:lang w:val="zh-TW"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noWrap w:val="0"/>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6</w:t>
            </w:r>
          </w:p>
        </w:tc>
        <w:tc>
          <w:tcPr>
            <w:tcW w:w="1219"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产品开发</w:t>
            </w:r>
          </w:p>
        </w:tc>
        <w:tc>
          <w:tcPr>
            <w:tcW w:w="526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内容：产品开发相关知识学习与实践 。</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left"/>
              <w:rPr>
                <w:rFonts w:ascii="Times New Roman" w:hAnsi="Times New Roman" w:cs="Times New Roman"/>
                <w:spacing w:val="0"/>
                <w:kern w:val="2"/>
                <w:position w:val="0"/>
                <w:sz w:val="18"/>
                <w:szCs w:val="18"/>
                <w:lang w:val="zh-TW" w:eastAsia="zh-TW"/>
              </w:rPr>
            </w:pPr>
            <w:r>
              <w:rPr>
                <w:rFonts w:hint="eastAsia" w:ascii="Times New Roman" w:hAnsi="Times New Roman" w:cs="Times New Roman"/>
                <w:spacing w:val="0"/>
                <w:kern w:val="2"/>
                <w:position w:val="0"/>
                <w:sz w:val="18"/>
                <w:szCs w:val="18"/>
                <w:lang w:val="zh-TW" w:eastAsia="zh-TW"/>
              </w:rPr>
              <w:t>要求：能宏观的看待设计在产品开发过程中位置，对其他产品开发相关环节有所了解，能进行产品开发企划书的设计与写作。</w:t>
            </w:r>
          </w:p>
        </w:tc>
      </w:tr>
    </w:tbl>
    <w:p>
      <w:pPr>
        <w:ind w:firstLine="480"/>
        <w:rPr>
          <w:rFonts w:ascii="仿宋" w:hAnsi="仿宋" w:eastAsia="仿宋" w:cs="仿宋"/>
          <w:sz w:val="24"/>
          <w:lang w:val="zh-TW" w:eastAsia="zh-TW"/>
        </w:rPr>
      </w:pPr>
      <w:r>
        <w:rPr>
          <w:rFonts w:hint="eastAsia" w:ascii="Times New Roman" w:hAnsi="Times New Roman" w:cs="Times New Roman"/>
          <w:spacing w:val="0"/>
          <w:kern w:val="2"/>
          <w:position w:val="0"/>
          <w:szCs w:val="21"/>
          <w:lang w:val="zh-TW" w:eastAsia="zh-TW"/>
        </w:rPr>
        <w:t>职业教育课程设置与培养目标相适应，课程内容紧密联系设计岗位技能，突出应用性和实践性，注重学生职业能力和职业精神的培养。依据专业教学标准，对照相应职业岗位（群）的能力要求，确定多核心课程，具备明确教学内容及要求。产品艺术设计专业职业教育课程设置注重引导和体现理实一体化教学。</w:t>
      </w:r>
    </w:p>
    <w:p>
      <w:pPr>
        <w:spacing w:after="0" w:line="300" w:lineRule="auto"/>
        <w:ind w:firstLine="480" w:firstLineChars="200"/>
        <w:rPr>
          <w:sz w:val="24"/>
        </w:rPr>
      </w:pPr>
      <w:r>
        <w:rPr>
          <w:rFonts w:hint="eastAsia"/>
          <w:sz w:val="24"/>
        </w:rPr>
        <w:t>（四）实践性教学环节</w:t>
      </w:r>
    </w:p>
    <w:p>
      <w:pPr>
        <w:shd w:val="clear" w:color="auto" w:fill="FFFFFF"/>
        <w:ind w:firstLine="48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实践性教学环节主要包括实习、实训、毕业设计等。应依据国家发布的有关专业顶岗实习标准，严格执行《职业学校学生实习管理规定》，组织好认识实习和毕业顶岗实习。</w:t>
      </w:r>
    </w:p>
    <w:p>
      <w:pPr>
        <w:spacing w:after="0" w:line="300" w:lineRule="auto"/>
        <w:ind w:firstLine="480" w:firstLineChars="200"/>
        <w:rPr>
          <w:sz w:val="24"/>
        </w:rPr>
      </w:pPr>
      <w:r>
        <w:rPr>
          <w:rFonts w:hint="eastAsia"/>
          <w:sz w:val="24"/>
        </w:rPr>
        <w:t>（五）相关要求</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学校应统筹安排各类课程设置，注重理论与实践一体化教学，本专业还开设关于安全教育、节能减排、绿色环保、金融知识、社会责任、人口资源、海洋科学、管理等人文素养、科学素养方面的选修课程、拓展课程或专题讲座（活动），并将有关知识融入到专业教学内容中。</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还将组织开展志愿服务活动及其他社会实践活动。</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7" w:name="_Toc15762"/>
      <w:r>
        <w:rPr>
          <w:rFonts w:hint="eastAsia" w:ascii="黑体" w:hAnsi="黑体" w:eastAsia="黑体" w:cs="Times New Roman"/>
          <w:b w:val="0"/>
          <w:bCs/>
          <w:kern w:val="2"/>
          <w:sz w:val="24"/>
          <w:szCs w:val="24"/>
          <w:lang w:val="en-US" w:eastAsia="zh-CN"/>
        </w:rPr>
        <w:t>七、教学进程总体安排</w:t>
      </w:r>
      <w:bookmarkEnd w:id="7"/>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教学进程是对本专业技术技能人才培养、教育教学实施进程的总体安排，是专业人才培养方案实施的具体体现。以表格的形式列出本专业开设课程类别、课程性质、课程名称、课程编码、学时学分、学期课程安排、考核方式，并反映有关学时比例要求。</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rPr>
      </w:pPr>
      <w:r>
        <w:rPr>
          <w:rFonts w:hint="eastAsia" w:ascii="Times New Roman" w:hAnsi="Times New Roman" w:cs="Times New Roman"/>
          <w:spacing w:val="0"/>
          <w:kern w:val="2"/>
          <w:position w:val="0"/>
          <w:sz w:val="24"/>
          <w:szCs w:val="24"/>
          <w:lang w:eastAsia="zh-CN"/>
        </w:rPr>
        <w:t>（</w:t>
      </w:r>
      <w:r>
        <w:rPr>
          <w:rFonts w:hint="eastAsia" w:ascii="Times New Roman" w:hAnsi="Times New Roman" w:cs="Times New Roman"/>
          <w:spacing w:val="0"/>
          <w:kern w:val="2"/>
          <w:position w:val="0"/>
          <w:sz w:val="24"/>
          <w:szCs w:val="24"/>
          <w:lang w:val="en-US" w:eastAsia="zh-CN"/>
        </w:rPr>
        <w:t>一）</w:t>
      </w:r>
      <w:r>
        <w:rPr>
          <w:rFonts w:hint="eastAsia" w:ascii="Times New Roman" w:hAnsi="Times New Roman" w:cs="Times New Roman"/>
          <w:spacing w:val="0"/>
          <w:kern w:val="2"/>
          <w:position w:val="0"/>
          <w:sz w:val="24"/>
          <w:szCs w:val="24"/>
        </w:rPr>
        <w:t>学时安排</w:t>
      </w:r>
    </w:p>
    <w:tbl>
      <w:tblPr>
        <w:tblStyle w:val="7"/>
        <w:tblpPr w:leftFromText="180" w:rightFromText="180" w:vertAnchor="text" w:horzAnchor="page" w:tblpX="1831" w:tblpY="1005"/>
        <w:tblOverlap w:val="never"/>
        <w:tblW w:w="8694" w:type="dxa"/>
        <w:tblInd w:w="0" w:type="dxa"/>
        <w:tblLayout w:type="fixed"/>
        <w:tblCellMar>
          <w:top w:w="0" w:type="dxa"/>
          <w:left w:w="0" w:type="dxa"/>
          <w:bottom w:w="0" w:type="dxa"/>
          <w:right w:w="0" w:type="dxa"/>
        </w:tblCellMar>
      </w:tblPr>
      <w:tblGrid>
        <w:gridCol w:w="1026"/>
        <w:gridCol w:w="737"/>
        <w:gridCol w:w="900"/>
        <w:gridCol w:w="952"/>
        <w:gridCol w:w="1113"/>
        <w:gridCol w:w="637"/>
        <w:gridCol w:w="704"/>
        <w:gridCol w:w="682"/>
        <w:gridCol w:w="829"/>
        <w:gridCol w:w="1114"/>
      </w:tblGrid>
      <w:tr>
        <w:tblPrEx>
          <w:tblCellMar>
            <w:top w:w="0" w:type="dxa"/>
            <w:left w:w="0" w:type="dxa"/>
            <w:bottom w:w="0" w:type="dxa"/>
            <w:right w:w="0" w:type="dxa"/>
          </w:tblCellMar>
        </w:tblPrEx>
        <w:trPr>
          <w:trHeight w:val="300" w:hRule="atLeast"/>
        </w:trPr>
        <w:tc>
          <w:tcPr>
            <w:tcW w:w="1026"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学期</w:t>
            </w:r>
          </w:p>
        </w:tc>
        <w:tc>
          <w:tcPr>
            <w:tcW w:w="737" w:type="dxa"/>
            <w:tcBorders>
              <w:top w:val="single" w:color="000000" w:sz="8" w:space="0"/>
              <w:left w:val="single" w:color="000000" w:sz="8" w:space="0"/>
              <w:bottom w:val="nil"/>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入学</w:t>
            </w:r>
          </w:p>
        </w:tc>
        <w:tc>
          <w:tcPr>
            <w:tcW w:w="900"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军 训</w:t>
            </w:r>
          </w:p>
        </w:tc>
        <w:tc>
          <w:tcPr>
            <w:tcW w:w="952" w:type="dxa"/>
            <w:tcBorders>
              <w:top w:val="single" w:color="000000" w:sz="8" w:space="0"/>
              <w:left w:val="single" w:color="000000" w:sz="8" w:space="0"/>
              <w:bottom w:val="nil"/>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课堂</w:t>
            </w:r>
          </w:p>
        </w:tc>
        <w:tc>
          <w:tcPr>
            <w:tcW w:w="1113"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实训（实验）</w:t>
            </w:r>
          </w:p>
        </w:tc>
        <w:tc>
          <w:tcPr>
            <w:tcW w:w="637"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实习</w:t>
            </w:r>
          </w:p>
        </w:tc>
        <w:tc>
          <w:tcPr>
            <w:tcW w:w="704"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考 试</w:t>
            </w:r>
          </w:p>
        </w:tc>
        <w:tc>
          <w:tcPr>
            <w:tcW w:w="682"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机 动</w:t>
            </w:r>
          </w:p>
        </w:tc>
        <w:tc>
          <w:tcPr>
            <w:tcW w:w="829"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假 期</w:t>
            </w:r>
          </w:p>
        </w:tc>
        <w:tc>
          <w:tcPr>
            <w:tcW w:w="1114" w:type="dxa"/>
            <w:vMerge w:val="restart"/>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shd w:val="clear" w:color="auto" w:fill="auto"/>
              </w:rPr>
            </w:pPr>
            <w:r>
              <w:rPr>
                <w:rFonts w:hint="eastAsia" w:ascii="Times New Roman" w:hAnsi="Times New Roman" w:eastAsia="宋体" w:cs="Times New Roman"/>
                <w:b/>
                <w:bCs/>
                <w:color w:val="000000"/>
                <w:sz w:val="18"/>
                <w:szCs w:val="18"/>
                <w:shd w:val="clear" w:color="auto" w:fill="auto"/>
              </w:rPr>
              <w:t>总 计</w:t>
            </w:r>
          </w:p>
        </w:tc>
      </w:tr>
      <w:tr>
        <w:tblPrEx>
          <w:tblCellMar>
            <w:top w:w="0" w:type="dxa"/>
            <w:left w:w="0" w:type="dxa"/>
            <w:bottom w:w="0" w:type="dxa"/>
            <w:right w:w="0" w:type="dxa"/>
          </w:tblCellMar>
        </w:tblPrEx>
        <w:trPr>
          <w:trHeight w:val="285" w:hRule="atLeast"/>
        </w:trPr>
        <w:tc>
          <w:tcPr>
            <w:tcW w:w="1026"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737" w:type="dxa"/>
            <w:tcBorders>
              <w:top w:val="nil"/>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教育</w:t>
            </w:r>
          </w:p>
        </w:tc>
        <w:tc>
          <w:tcPr>
            <w:tcW w:w="900" w:type="dxa"/>
            <w:vMerge w:val="continue"/>
            <w:tcBorders>
              <w:top w:val="single" w:color="000000" w:sz="8" w:space="0"/>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rPr>
            </w:pPr>
          </w:p>
        </w:tc>
        <w:tc>
          <w:tcPr>
            <w:tcW w:w="952" w:type="dxa"/>
            <w:tcBorders>
              <w:top w:val="nil"/>
              <w:left w:val="single" w:color="000000" w:sz="8" w:space="0"/>
              <w:bottom w:val="single" w:color="000000" w:sz="8" w:space="0"/>
              <w:right w:val="single" w:color="000000" w:sz="8" w:space="0"/>
            </w:tcBorders>
            <w:shd w:val="clear" w:color="auto" w:fill="EEECE1"/>
            <w:noWrap w:val="0"/>
            <w:tcMar>
              <w:top w:w="15" w:type="dxa"/>
              <w:left w:w="15" w:type="dxa"/>
              <w:bottom w:w="0" w:type="dxa"/>
              <w:right w:w="15" w:type="dxa"/>
            </w:tcMar>
            <w:vAlign w:val="center"/>
          </w:tcPr>
          <w:p>
            <w:pPr>
              <w:jc w:val="center"/>
              <w:rPr>
                <w:rFonts w:hint="eastAsia"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教学</w:t>
            </w:r>
          </w:p>
        </w:tc>
        <w:tc>
          <w:tcPr>
            <w:tcW w:w="1113"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637"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704"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682"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82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c>
          <w:tcPr>
            <w:tcW w:w="1114"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p>
        </w:tc>
      </w:tr>
      <w:tr>
        <w:tblPrEx>
          <w:tblCellMar>
            <w:top w:w="0" w:type="dxa"/>
            <w:left w:w="0" w:type="dxa"/>
            <w:bottom w:w="0" w:type="dxa"/>
            <w:right w:w="0" w:type="dxa"/>
          </w:tblCellMar>
        </w:tblPrEx>
        <w:trPr>
          <w:trHeight w:val="285" w:hRule="atLeast"/>
        </w:trPr>
        <w:tc>
          <w:tcPr>
            <w:tcW w:w="1026"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第一学期</w:t>
            </w:r>
          </w:p>
        </w:tc>
        <w:tc>
          <w:tcPr>
            <w:tcW w:w="737"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w:t>
            </w:r>
          </w:p>
        </w:tc>
        <w:tc>
          <w:tcPr>
            <w:tcW w:w="900"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ascii="宋体" w:hAnsi="宋体" w:eastAsia="宋体" w:cs="宋体"/>
                <w:color w:val="000000"/>
                <w:sz w:val="18"/>
                <w:szCs w:val="18"/>
                <w:lang w:eastAsia="zh-CN" w:bidi="ar"/>
              </w:rPr>
              <w:t>（1）</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w:t>
            </w:r>
            <w:r>
              <w:rPr>
                <w:rFonts w:hint="eastAsia" w:ascii="Times New Roman" w:hAnsi="Times New Roman" w:eastAsia="宋体" w:cs="Times New Roman"/>
                <w:b w:val="0"/>
                <w:bCs w:val="0"/>
                <w:color w:val="000000"/>
                <w:sz w:val="18"/>
                <w:szCs w:val="18"/>
              </w:rPr>
              <w:t>6</w:t>
            </w:r>
            <w:r>
              <w:rPr>
                <w:rFonts w:hint="eastAsia" w:ascii="Times New Roman" w:hAnsi="Times New Roman" w:eastAsia="宋体" w:cs="Times New Roman"/>
                <w:b w:val="0"/>
                <w:bCs w:val="0"/>
                <w:color w:val="000000"/>
                <w:sz w:val="18"/>
                <w:szCs w:val="18"/>
                <w:lang w:val="zh-TW" w:eastAsia="zh-TW"/>
              </w:rPr>
              <w:t>　</w:t>
            </w:r>
          </w:p>
        </w:tc>
        <w:tc>
          <w:tcPr>
            <w:tcW w:w="1113"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default"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0</w:t>
            </w:r>
          </w:p>
        </w:tc>
        <w:tc>
          <w:tcPr>
            <w:tcW w:w="637"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70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　</w:t>
            </w:r>
          </w:p>
        </w:tc>
        <w:tc>
          <w:tcPr>
            <w:tcW w:w="68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2</w:t>
            </w:r>
            <w:r>
              <w:rPr>
                <w:rFonts w:hint="eastAsia" w:ascii="Times New Roman" w:hAnsi="Times New Roman" w:eastAsia="宋体" w:cs="Times New Roman"/>
                <w:b w:val="0"/>
                <w:bCs w:val="0"/>
                <w:color w:val="000000"/>
                <w:sz w:val="18"/>
                <w:szCs w:val="18"/>
                <w:lang w:val="zh-TW" w:eastAsia="zh-TW"/>
              </w:rPr>
              <w:t>　</w:t>
            </w:r>
          </w:p>
        </w:tc>
        <w:tc>
          <w:tcPr>
            <w:tcW w:w="829"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4</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w:t>
            </w:r>
            <w:r>
              <w:rPr>
                <w:rFonts w:hint="eastAsia" w:ascii="Times New Roman" w:hAnsi="Times New Roman" w:eastAsia="宋体" w:cs="Times New Roman"/>
                <w:b w:val="0"/>
                <w:bCs w:val="0"/>
                <w:color w:val="000000"/>
                <w:sz w:val="18"/>
                <w:szCs w:val="18"/>
              </w:rPr>
              <w:t>4</w:t>
            </w:r>
          </w:p>
        </w:tc>
      </w:tr>
      <w:tr>
        <w:tblPrEx>
          <w:tblCellMar>
            <w:top w:w="0" w:type="dxa"/>
            <w:left w:w="0" w:type="dxa"/>
            <w:bottom w:w="0" w:type="dxa"/>
            <w:right w:w="0" w:type="dxa"/>
          </w:tblCellMar>
        </w:tblPrEx>
        <w:trPr>
          <w:trHeight w:val="285"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第二学期</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val="en-US" w:eastAsia="zh-CN" w:bidi="ar"/>
              </w:rPr>
              <w:t>0</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16</w:t>
            </w:r>
            <w:r>
              <w:rPr>
                <w:rFonts w:hint="eastAsia" w:ascii="Times New Roman" w:hAnsi="Times New Roman" w:eastAsia="宋体" w:cs="Times New Roman"/>
                <w:b w:val="0"/>
                <w:bCs w:val="0"/>
                <w:color w:val="000000"/>
                <w:sz w:val="18"/>
                <w:szCs w:val="18"/>
                <w:lang w:val="zh-TW" w:eastAsia="zh-TW"/>
              </w:rPr>
              <w:t>　</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1</w:t>
            </w:r>
            <w:r>
              <w:rPr>
                <w:rFonts w:hint="eastAsia" w:ascii="Times New Roman" w:hAnsi="Times New Roman" w:eastAsia="宋体" w:cs="Times New Roman"/>
                <w:b w:val="0"/>
                <w:bCs w:val="0"/>
                <w:color w:val="000000"/>
                <w:sz w:val="18"/>
                <w:szCs w:val="18"/>
                <w:lang w:val="zh-TW" w:eastAsia="zh-TW"/>
              </w:rPr>
              <w:t>　</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2</w:t>
            </w:r>
            <w:r>
              <w:rPr>
                <w:rFonts w:hint="eastAsia" w:ascii="Times New Roman" w:hAnsi="Times New Roman" w:eastAsia="宋体" w:cs="Times New Roman"/>
                <w:b w:val="0"/>
                <w:bCs w:val="0"/>
                <w:color w:val="000000"/>
                <w:sz w:val="18"/>
                <w:szCs w:val="18"/>
                <w:lang w:val="zh-TW" w:eastAsia="zh-TW"/>
              </w:rPr>
              <w:t>　</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8</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w:t>
            </w:r>
            <w:r>
              <w:rPr>
                <w:rFonts w:hint="eastAsia" w:ascii="Times New Roman" w:hAnsi="Times New Roman" w:eastAsia="宋体" w:cs="Times New Roman"/>
                <w:b w:val="0"/>
                <w:bCs w:val="0"/>
                <w:color w:val="000000"/>
                <w:sz w:val="18"/>
                <w:szCs w:val="18"/>
              </w:rPr>
              <w:t>8</w:t>
            </w:r>
          </w:p>
        </w:tc>
      </w:tr>
      <w:tr>
        <w:tblPrEx>
          <w:tblCellMar>
            <w:top w:w="0" w:type="dxa"/>
            <w:left w:w="0" w:type="dxa"/>
            <w:bottom w:w="0" w:type="dxa"/>
            <w:right w:w="0" w:type="dxa"/>
          </w:tblCellMar>
        </w:tblPrEx>
        <w:trPr>
          <w:trHeight w:val="285"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第三学期</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bidi="ar"/>
              </w:rPr>
              <w:t>0</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w:t>
            </w:r>
            <w:r>
              <w:rPr>
                <w:rFonts w:hint="eastAsia" w:ascii="Times New Roman" w:hAnsi="Times New Roman" w:eastAsia="宋体" w:cs="Times New Roman"/>
                <w:b w:val="0"/>
                <w:bCs w:val="0"/>
                <w:color w:val="000000"/>
                <w:sz w:val="18"/>
                <w:szCs w:val="18"/>
              </w:rPr>
              <w:t>6</w:t>
            </w:r>
            <w:r>
              <w:rPr>
                <w:rFonts w:hint="eastAsia" w:ascii="Times New Roman" w:hAnsi="Times New Roman" w:eastAsia="宋体" w:cs="Times New Roman"/>
                <w:b w:val="0"/>
                <w:bCs w:val="0"/>
                <w:color w:val="000000"/>
                <w:sz w:val="18"/>
                <w:szCs w:val="18"/>
                <w:lang w:val="zh-TW" w:eastAsia="zh-TW"/>
              </w:rPr>
              <w:t>　</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3</w:t>
            </w:r>
            <w:r>
              <w:rPr>
                <w:rFonts w:hint="eastAsia" w:ascii="Times New Roman" w:hAnsi="Times New Roman" w:eastAsia="宋体" w:cs="Times New Roman"/>
                <w:b w:val="0"/>
                <w:bCs w:val="0"/>
                <w:color w:val="000000"/>
                <w:sz w:val="18"/>
                <w:szCs w:val="18"/>
                <w:lang w:val="zh-TW" w:eastAsia="zh-TW"/>
              </w:rPr>
              <w:t>　</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4</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24</w:t>
            </w:r>
          </w:p>
        </w:tc>
      </w:tr>
      <w:tr>
        <w:tblPrEx>
          <w:tblCellMar>
            <w:top w:w="0" w:type="dxa"/>
            <w:left w:w="0" w:type="dxa"/>
            <w:bottom w:w="0" w:type="dxa"/>
            <w:right w:w="0" w:type="dxa"/>
          </w:tblCellMar>
        </w:tblPrEx>
        <w:trPr>
          <w:trHeight w:val="285"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第四学期</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bidi="ar"/>
              </w:rPr>
              <w:t>0</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w:t>
            </w:r>
            <w:r>
              <w:rPr>
                <w:rFonts w:hint="eastAsia" w:ascii="Times New Roman" w:hAnsi="Times New Roman" w:eastAsia="宋体" w:cs="Times New Roman"/>
                <w:b w:val="0"/>
                <w:bCs w:val="0"/>
                <w:color w:val="000000"/>
                <w:sz w:val="18"/>
                <w:szCs w:val="18"/>
              </w:rPr>
              <w:t>6</w:t>
            </w:r>
            <w:r>
              <w:rPr>
                <w:rFonts w:hint="eastAsia" w:ascii="Times New Roman" w:hAnsi="Times New Roman" w:eastAsia="宋体" w:cs="Times New Roman"/>
                <w:b w:val="0"/>
                <w:bCs w:val="0"/>
                <w:color w:val="000000"/>
                <w:sz w:val="18"/>
                <w:szCs w:val="18"/>
                <w:lang w:val="zh-TW" w:eastAsia="zh-TW"/>
              </w:rPr>
              <w:t>　</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0</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eastAsia"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3</w:t>
            </w:r>
            <w:r>
              <w:rPr>
                <w:rFonts w:hint="eastAsia" w:ascii="Times New Roman" w:hAnsi="Times New Roman" w:eastAsia="宋体" w:cs="Times New Roman"/>
                <w:b w:val="0"/>
                <w:bCs w:val="0"/>
                <w:color w:val="000000"/>
                <w:sz w:val="18"/>
                <w:szCs w:val="18"/>
                <w:lang w:val="zh-TW" w:eastAsia="zh-TW"/>
              </w:rPr>
              <w:t>　</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8</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28</w:t>
            </w:r>
          </w:p>
        </w:tc>
      </w:tr>
      <w:tr>
        <w:tblPrEx>
          <w:tblCellMar>
            <w:top w:w="0" w:type="dxa"/>
            <w:left w:w="0" w:type="dxa"/>
            <w:bottom w:w="0" w:type="dxa"/>
            <w:right w:w="0" w:type="dxa"/>
          </w:tblCellMar>
        </w:tblPrEx>
        <w:trPr>
          <w:trHeight w:val="285"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第五学期</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bidi="ar"/>
              </w:rPr>
              <w:t>0</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default"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10</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default"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10</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0</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4</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24</w:t>
            </w:r>
          </w:p>
        </w:tc>
      </w:tr>
      <w:tr>
        <w:tblPrEx>
          <w:tblCellMar>
            <w:top w:w="0" w:type="dxa"/>
            <w:left w:w="0" w:type="dxa"/>
            <w:bottom w:w="0" w:type="dxa"/>
            <w:right w:w="0" w:type="dxa"/>
          </w:tblCellMar>
        </w:tblPrEx>
        <w:trPr>
          <w:trHeight w:val="285"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第六学期</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bidi="ar"/>
              </w:rPr>
              <w:t>0</w:t>
            </w:r>
          </w:p>
        </w:tc>
        <w:tc>
          <w:tcPr>
            <w:tcW w:w="952"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top"/>
          </w:tcPr>
          <w:p>
            <w:pPr>
              <w:jc w:val="center"/>
              <w:rPr>
                <w:rFonts w:hint="eastAsia" w:ascii="Times New Roman" w:hAnsi="Times New Roman" w:eastAsia="宋体" w:cs="Times New Roman"/>
                <w:b w:val="0"/>
                <w:bCs w:val="0"/>
                <w:color w:val="000000"/>
                <w:sz w:val="18"/>
                <w:szCs w:val="18"/>
                <w:lang w:eastAsia="zh-CN"/>
              </w:rPr>
            </w:pPr>
            <w:r>
              <w:rPr>
                <w:rFonts w:hint="eastAsia" w:ascii="Times New Roman" w:hAnsi="Times New Roman" w:eastAsia="宋体" w:cs="Times New Roman"/>
                <w:b w:val="0"/>
                <w:bCs w:val="0"/>
                <w:color w:val="000000"/>
                <w:sz w:val="18"/>
                <w:szCs w:val="18"/>
                <w:lang w:val="zh-TW" w:eastAsia="zh-TW"/>
              </w:rPr>
              <w:t>1</w:t>
            </w:r>
            <w:r>
              <w:rPr>
                <w:rFonts w:hint="eastAsia" w:ascii="Times New Roman" w:hAnsi="Times New Roman" w:eastAsia="宋体" w:cs="Times New Roman"/>
                <w:b w:val="0"/>
                <w:bCs w:val="0"/>
                <w:color w:val="000000"/>
                <w:sz w:val="18"/>
                <w:szCs w:val="18"/>
                <w:lang w:val="en-US" w:eastAsia="zh-CN"/>
              </w:rPr>
              <w:t>4</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0</w:t>
            </w:r>
            <w:r>
              <w:rPr>
                <w:rFonts w:hint="eastAsia" w:ascii="Times New Roman" w:hAnsi="Times New Roman" w:eastAsia="宋体" w:cs="Times New Roman"/>
                <w:b w:val="0"/>
                <w:bCs w:val="0"/>
                <w:color w:val="000000"/>
                <w:sz w:val="18"/>
                <w:szCs w:val="18"/>
                <w:lang w:val="zh-TW" w:eastAsia="zh-TW"/>
              </w:rPr>
              <w:t>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6</w:t>
            </w:r>
            <w:r>
              <w:rPr>
                <w:rFonts w:hint="eastAsia" w:ascii="Times New Roman" w:hAnsi="Times New Roman" w:eastAsia="宋体" w:cs="Times New Roman"/>
                <w:b w:val="0"/>
                <w:bCs w:val="0"/>
                <w:color w:val="000000"/>
                <w:sz w:val="18"/>
                <w:szCs w:val="18"/>
                <w:lang w:val="zh-TW" w:eastAsia="zh-TW"/>
              </w:rPr>
              <w:t>　</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0</w:t>
            </w:r>
          </w:p>
        </w:tc>
        <w:tc>
          <w:tcPr>
            <w:tcW w:w="1114" w:type="dxa"/>
            <w:tcBorders>
              <w:top w:val="nil"/>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20</w:t>
            </w:r>
          </w:p>
        </w:tc>
      </w:tr>
      <w:tr>
        <w:tblPrEx>
          <w:tblCellMar>
            <w:top w:w="0" w:type="dxa"/>
            <w:left w:w="0" w:type="dxa"/>
            <w:bottom w:w="0" w:type="dxa"/>
            <w:right w:w="0" w:type="dxa"/>
          </w:tblCellMar>
        </w:tblPrEx>
        <w:trPr>
          <w:trHeight w:val="319" w:hRule="atLeast"/>
        </w:trPr>
        <w:tc>
          <w:tcPr>
            <w:tcW w:w="1026"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rPr>
              <w:t>总计</w:t>
            </w:r>
          </w:p>
        </w:tc>
        <w:tc>
          <w:tcPr>
            <w:tcW w:w="7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　</w:t>
            </w:r>
          </w:p>
        </w:tc>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sz w:val="18"/>
                <w:szCs w:val="18"/>
                <w:lang w:bidi="ar"/>
              </w:rPr>
              <w:t>(</w:t>
            </w:r>
            <w:r>
              <w:rPr>
                <w:rFonts w:hint="eastAsia"/>
                <w:sz w:val="18"/>
                <w:szCs w:val="18"/>
                <w:lang w:val="en-US" w:eastAsia="zh-CN" w:bidi="ar"/>
              </w:rPr>
              <w:t>1</w:t>
            </w:r>
            <w:r>
              <w:rPr>
                <w:rFonts w:hint="eastAsia"/>
                <w:sz w:val="18"/>
                <w:szCs w:val="18"/>
                <w:lang w:bidi="ar"/>
              </w:rPr>
              <w:t>)</w:t>
            </w:r>
          </w:p>
        </w:tc>
        <w:tc>
          <w:tcPr>
            <w:tcW w:w="95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en-US" w:eastAsia="zh-CN"/>
              </w:rPr>
              <w:t>74</w:t>
            </w:r>
            <w:r>
              <w:rPr>
                <w:rFonts w:hint="eastAsia" w:ascii="Times New Roman" w:hAnsi="Times New Roman" w:eastAsia="宋体" w:cs="Times New Roman"/>
                <w:b w:val="0"/>
                <w:bCs w:val="0"/>
                <w:color w:val="000000"/>
                <w:sz w:val="18"/>
                <w:szCs w:val="18"/>
                <w:lang w:val="zh-TW" w:eastAsia="zh-TW"/>
              </w:rPr>
              <w:t>　</w:t>
            </w:r>
          </w:p>
        </w:tc>
        <w:tc>
          <w:tcPr>
            <w:tcW w:w="1113"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lang w:val="en-US" w:eastAsia="zh-CN"/>
              </w:rPr>
            </w:pPr>
            <w:r>
              <w:rPr>
                <w:rFonts w:hint="eastAsia" w:ascii="Times New Roman" w:hAnsi="Times New Roman" w:eastAsia="宋体" w:cs="Times New Roman"/>
                <w:b w:val="0"/>
                <w:bCs w:val="0"/>
                <w:color w:val="000000"/>
                <w:sz w:val="18"/>
                <w:szCs w:val="18"/>
                <w:lang w:val="en-US" w:eastAsia="zh-CN"/>
              </w:rPr>
              <w:t>1</w:t>
            </w:r>
          </w:p>
        </w:tc>
        <w:tc>
          <w:tcPr>
            <w:tcW w:w="637"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w:t>
            </w:r>
            <w:r>
              <w:rPr>
                <w:rFonts w:hint="eastAsia" w:ascii="Times New Roman" w:hAnsi="Times New Roman" w:eastAsia="宋体" w:cs="Times New Roman"/>
                <w:b w:val="0"/>
                <w:bCs w:val="0"/>
                <w:color w:val="000000"/>
                <w:sz w:val="18"/>
                <w:szCs w:val="18"/>
                <w:lang w:val="en-US" w:eastAsia="zh-CN"/>
              </w:rPr>
              <w:t>4</w:t>
            </w:r>
            <w:r>
              <w:rPr>
                <w:rFonts w:hint="eastAsia" w:ascii="Times New Roman" w:hAnsi="Times New Roman" w:eastAsia="宋体" w:cs="Times New Roman"/>
                <w:b w:val="0"/>
                <w:bCs w:val="0"/>
                <w:color w:val="000000"/>
                <w:sz w:val="18"/>
                <w:szCs w:val="18"/>
                <w:lang w:val="zh-TW" w:eastAsia="zh-TW"/>
              </w:rPr>
              <w:t>　</w:t>
            </w:r>
          </w:p>
        </w:tc>
        <w:tc>
          <w:tcPr>
            <w:tcW w:w="70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4　</w:t>
            </w:r>
          </w:p>
        </w:tc>
        <w:tc>
          <w:tcPr>
            <w:tcW w:w="682"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lang w:eastAsia="zh-CN"/>
              </w:rPr>
            </w:pPr>
            <w:r>
              <w:rPr>
                <w:rFonts w:hint="eastAsia" w:ascii="Times New Roman" w:hAnsi="Times New Roman" w:eastAsia="宋体" w:cs="Times New Roman"/>
                <w:b w:val="0"/>
                <w:bCs w:val="0"/>
                <w:color w:val="000000"/>
                <w:sz w:val="18"/>
                <w:szCs w:val="18"/>
              </w:rPr>
              <w:t>1</w:t>
            </w:r>
            <w:r>
              <w:rPr>
                <w:rFonts w:hint="eastAsia" w:ascii="Times New Roman" w:hAnsi="Times New Roman" w:eastAsia="宋体" w:cs="Times New Roman"/>
                <w:b w:val="0"/>
                <w:bCs w:val="0"/>
                <w:color w:val="000000"/>
                <w:sz w:val="18"/>
                <w:szCs w:val="18"/>
                <w:lang w:val="en-US" w:eastAsia="zh-CN"/>
              </w:rPr>
              <w:t>6</w:t>
            </w:r>
          </w:p>
        </w:tc>
        <w:tc>
          <w:tcPr>
            <w:tcW w:w="829"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28　</w:t>
            </w:r>
          </w:p>
        </w:tc>
        <w:tc>
          <w:tcPr>
            <w:tcW w:w="1114"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jc w:val="center"/>
              <w:rPr>
                <w:rFonts w:hint="eastAsia" w:ascii="Times New Roman" w:hAnsi="Times New Roman" w:eastAsia="宋体" w:cs="Times New Roman"/>
                <w:b w:val="0"/>
                <w:bCs w:val="0"/>
                <w:color w:val="000000"/>
                <w:sz w:val="18"/>
                <w:szCs w:val="18"/>
              </w:rPr>
            </w:pPr>
            <w:r>
              <w:rPr>
                <w:rFonts w:hint="eastAsia" w:ascii="Times New Roman" w:hAnsi="Times New Roman" w:eastAsia="宋体" w:cs="Times New Roman"/>
                <w:b w:val="0"/>
                <w:bCs w:val="0"/>
                <w:color w:val="000000"/>
                <w:sz w:val="18"/>
                <w:szCs w:val="18"/>
                <w:lang w:val="zh-TW" w:eastAsia="zh-TW"/>
              </w:rPr>
              <w:t>14</w:t>
            </w:r>
            <w:r>
              <w:rPr>
                <w:rFonts w:hint="eastAsia" w:ascii="Times New Roman" w:hAnsi="Times New Roman" w:eastAsia="宋体" w:cs="Times New Roman"/>
                <w:b w:val="0"/>
                <w:bCs w:val="0"/>
                <w:color w:val="000000"/>
                <w:sz w:val="18"/>
                <w:szCs w:val="18"/>
              </w:rPr>
              <w:t>8</w:t>
            </w:r>
          </w:p>
        </w:tc>
      </w:tr>
    </w:tbl>
    <w:p>
      <w:pPr>
        <w:spacing w:line="600" w:lineRule="exact"/>
        <w:ind w:firstLine="422"/>
        <w:jc w:val="center"/>
        <w:rPr>
          <w:rFonts w:hint="eastAsia" w:ascii="仿宋" w:hAnsi="仿宋" w:eastAsia="仿宋" w:cs="仿宋"/>
          <w:b/>
          <w:bCs/>
          <w:color w:val="000000"/>
          <w:spacing w:val="0"/>
          <w:kern w:val="2"/>
          <w:position w:val="0"/>
          <w:sz w:val="21"/>
          <w:szCs w:val="21"/>
          <w:lang w:val="zh-TW" w:eastAsia="zh-TW" w:bidi="zh-TW"/>
        </w:rPr>
      </w:pPr>
      <w:r>
        <w:rPr>
          <w:rFonts w:hint="eastAsia" w:ascii="仿宋" w:hAnsi="仿宋" w:eastAsia="仿宋" w:cs="仿宋"/>
          <w:b/>
          <w:bCs/>
          <w:color w:val="000000"/>
          <w:spacing w:val="0"/>
          <w:kern w:val="2"/>
          <w:position w:val="0"/>
          <w:sz w:val="21"/>
          <w:szCs w:val="21"/>
          <w:lang w:val="zh-CN" w:eastAsia="zh-TW" w:bidi="zh-TW"/>
        </w:rPr>
        <w:t>表</w:t>
      </w:r>
      <w:r>
        <w:rPr>
          <w:rFonts w:hint="eastAsia" w:ascii="仿宋" w:hAnsi="仿宋" w:eastAsia="仿宋" w:cs="仿宋"/>
          <w:b/>
          <w:bCs/>
          <w:color w:val="000000"/>
          <w:spacing w:val="0"/>
          <w:kern w:val="2"/>
          <w:position w:val="0"/>
          <w:sz w:val="21"/>
          <w:szCs w:val="21"/>
          <w:lang w:val="en-US" w:eastAsia="zh-CN" w:bidi="zh-TW"/>
        </w:rPr>
        <w:t>4</w:t>
      </w:r>
      <w:r>
        <w:rPr>
          <w:rFonts w:hint="eastAsia" w:ascii="仿宋" w:hAnsi="仿宋" w:eastAsia="仿宋" w:cs="仿宋"/>
          <w:b/>
          <w:bCs/>
          <w:color w:val="000000"/>
          <w:spacing w:val="0"/>
          <w:kern w:val="2"/>
          <w:position w:val="0"/>
          <w:sz w:val="21"/>
          <w:szCs w:val="21"/>
          <w:lang w:val="zh-CN" w:eastAsia="zh-TW" w:bidi="zh-TW"/>
        </w:rPr>
        <w:t xml:space="preserve">  教学活动周进程安排表               单位：周</w:t>
      </w:r>
    </w:p>
    <w:p>
      <w:pPr>
        <w:spacing w:line="0" w:lineRule="atLeast"/>
        <w:ind w:firstLine="0"/>
        <w:rPr>
          <w:rFonts w:hint="eastAsia" w:ascii="仿宋" w:hAnsi="仿宋" w:eastAsia="仿宋" w:cs="仿宋"/>
          <w:lang w:val="en-US" w:eastAsia="zh-CN"/>
        </w:rPr>
      </w:pPr>
      <w:r>
        <w:rPr>
          <w:rFonts w:hint="eastAsia" w:ascii="仿宋" w:hAnsi="仿宋" w:eastAsia="仿宋" w:cs="仿宋"/>
          <w:lang w:val="zh-CN" w:eastAsia="zh-TW"/>
        </w:rPr>
        <w:t xml:space="preserve"> </w:t>
      </w:r>
      <w:r>
        <w:rPr>
          <w:rFonts w:hint="eastAsia" w:ascii="仿宋" w:hAnsi="仿宋" w:eastAsia="仿宋" w:cs="仿宋"/>
          <w:lang w:val="en-US" w:eastAsia="zh-CN"/>
        </w:rPr>
        <w:t xml:space="preserve"> </w:t>
      </w:r>
    </w:p>
    <w:p>
      <w:pPr>
        <w:spacing w:line="0" w:lineRule="atLeast"/>
        <w:ind w:firstLine="0"/>
        <w:rPr>
          <w:rFonts w:hint="eastAsia" w:ascii="仿宋" w:hAnsi="仿宋" w:eastAsia="仿宋" w:cs="仿宋"/>
          <w:lang w:val="en-US" w:eastAsia="zh-CN"/>
        </w:rPr>
      </w:pPr>
    </w:p>
    <w:p>
      <w:pPr>
        <w:spacing w:line="0" w:lineRule="atLeast"/>
        <w:ind w:firstLine="0"/>
        <w:rPr>
          <w:rFonts w:hint="eastAsia" w:ascii="仿宋" w:hAnsi="仿宋" w:eastAsia="仿宋" w:cs="仿宋"/>
          <w:lang w:val="en-US" w:eastAsia="zh-CN"/>
        </w:rPr>
      </w:pPr>
    </w:p>
    <w:p>
      <w:pPr>
        <w:spacing w:line="0" w:lineRule="atLeast"/>
        <w:ind w:firstLine="0"/>
        <w:rPr>
          <w:rFonts w:ascii="仿宋" w:hAnsi="仿宋" w:eastAsia="仿宋" w:cs="仿宋"/>
          <w:lang w:val="zh-CN" w:eastAsia="zh-TW"/>
        </w:rPr>
      </w:pPr>
      <w:r>
        <w:rPr>
          <w:rFonts w:hint="eastAsia" w:ascii="仿宋" w:hAnsi="仿宋" w:eastAsia="仿宋" w:cs="仿宋"/>
          <w:lang w:val="zh-CN" w:eastAsia="zh-TW"/>
        </w:rPr>
        <w:t>说明： 1. 军事理论与训练1周，占学分，不占学时；</w:t>
      </w:r>
    </w:p>
    <w:p>
      <w:pPr>
        <w:numPr>
          <w:ilvl w:val="0"/>
          <w:numId w:val="1"/>
        </w:numPr>
        <w:spacing w:line="0" w:lineRule="atLeast"/>
        <w:ind w:left="945" w:leftChars="0" w:firstLine="0" w:firstLineChars="0"/>
        <w:rPr>
          <w:rFonts w:hint="eastAsia" w:ascii="仿宋" w:hAnsi="仿宋" w:eastAsia="仿宋" w:cs="仿宋"/>
          <w:lang w:val="zh-CN" w:eastAsia="zh-TW"/>
        </w:rPr>
      </w:pPr>
      <w:r>
        <w:rPr>
          <w:rFonts w:hint="eastAsia" w:ascii="仿宋" w:hAnsi="仿宋" w:eastAsia="仿宋" w:cs="仿宋"/>
          <w:lang w:val="zh-CN" w:eastAsia="zh-TW"/>
        </w:rPr>
        <w:t>第一学期安排新生入学教育1周。</w:t>
      </w:r>
    </w:p>
    <w:p>
      <w:pPr>
        <w:numPr>
          <w:ilvl w:val="0"/>
          <w:numId w:val="0"/>
        </w:numPr>
        <w:spacing w:line="0" w:lineRule="atLeast"/>
        <w:ind w:left="945" w:leftChars="0" w:right="0" w:rightChars="0"/>
        <w:rPr>
          <w:rFonts w:hint="eastAsia" w:ascii="仿宋" w:hAnsi="仿宋" w:eastAsia="仿宋" w:cs="仿宋"/>
          <w:lang w:val="zh-CN" w:eastAsia="zh-TW"/>
        </w:rPr>
      </w:pP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rPr>
      </w:pPr>
      <w:r>
        <w:rPr>
          <w:rFonts w:hint="eastAsia" w:ascii="Times New Roman" w:hAnsi="Times New Roman" w:cs="Times New Roman"/>
          <w:spacing w:val="0"/>
          <w:kern w:val="2"/>
          <w:position w:val="0"/>
          <w:sz w:val="24"/>
          <w:szCs w:val="24"/>
          <w:lang w:eastAsia="zh-CN"/>
        </w:rPr>
        <w:t>（</w:t>
      </w:r>
      <w:r>
        <w:rPr>
          <w:rFonts w:hint="eastAsia" w:ascii="Times New Roman" w:hAnsi="Times New Roman" w:cs="Times New Roman"/>
          <w:spacing w:val="0"/>
          <w:kern w:val="2"/>
          <w:position w:val="0"/>
          <w:sz w:val="24"/>
          <w:szCs w:val="24"/>
          <w:lang w:val="en-US" w:eastAsia="zh-CN"/>
        </w:rPr>
        <w:t>二）</w:t>
      </w:r>
      <w:r>
        <w:rPr>
          <w:rFonts w:hint="eastAsia"/>
          <w:sz w:val="24"/>
        </w:rPr>
        <w:t>教学进程表</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本专业教学进程尊重学生的学习规律，科学构建课程体系，注重公共基础课程与专业课程的衔接，优化课程安排次序，明确学期周数分配，科学编制教学进程安排表。</w:t>
      </w:r>
    </w:p>
    <w:p>
      <w:pPr>
        <w:ind w:left="0" w:leftChars="0" w:firstLine="0" w:firstLineChars="0"/>
        <w:jc w:val="both"/>
        <w:rPr>
          <w:rFonts w:hint="eastAsia" w:ascii="仿宋" w:hAnsi="仿宋" w:eastAsia="仿宋" w:cs="仿宋"/>
          <w:b/>
          <w:lang w:val="zh-CN" w:eastAsia="zh-TW"/>
        </w:rPr>
      </w:pPr>
    </w:p>
    <w:p>
      <w:pPr>
        <w:keepNext w:val="0"/>
        <w:keepLines w:val="0"/>
        <w:pageBreakBefore w:val="0"/>
        <w:widowControl w:val="0"/>
        <w:kinsoku/>
        <w:wordWrap/>
        <w:overflowPunct/>
        <w:topLinePunct w:val="0"/>
        <w:autoSpaceDE/>
        <w:autoSpaceDN/>
        <w:bidi w:val="0"/>
        <w:adjustRightInd/>
        <w:snapToGrid/>
        <w:spacing w:line="210" w:lineRule="atLeast"/>
        <w:ind w:firstLine="420"/>
        <w:jc w:val="center"/>
        <w:textAlignment w:val="auto"/>
        <w:rPr>
          <w:rFonts w:ascii="仿宋" w:hAnsi="仿宋" w:eastAsia="仿宋" w:cs="仿宋"/>
          <w:b/>
          <w:lang w:val="zh-CN" w:eastAsia="zh-TW"/>
        </w:rPr>
      </w:pPr>
      <w:r>
        <w:rPr>
          <w:rFonts w:hint="eastAsia" w:ascii="仿宋" w:hAnsi="仿宋" w:eastAsia="仿宋" w:cs="仿宋"/>
          <w:b/>
          <w:lang w:val="zh-CN" w:eastAsia="zh-TW"/>
        </w:rPr>
        <w:t>表</w:t>
      </w:r>
      <w:r>
        <w:rPr>
          <w:rFonts w:hint="eastAsia" w:ascii="仿宋" w:hAnsi="仿宋" w:eastAsia="仿宋" w:cs="仿宋"/>
          <w:b/>
          <w:lang w:val="en-US" w:eastAsia="zh-CN"/>
        </w:rPr>
        <w:t>5</w:t>
      </w:r>
      <w:r>
        <w:rPr>
          <w:rFonts w:hint="eastAsia" w:ascii="仿宋" w:hAnsi="仿宋" w:eastAsia="仿宋" w:cs="仿宋"/>
          <w:b/>
          <w:lang w:val="zh-CN" w:eastAsia="zh-TW"/>
        </w:rPr>
        <w:t xml:space="preserve"> 教学进程表</w:t>
      </w:r>
    </w:p>
    <w:tbl>
      <w:tblPr>
        <w:tblStyle w:val="7"/>
        <w:tblpPr w:leftFromText="180" w:rightFromText="180" w:vertAnchor="text" w:horzAnchor="page" w:tblpXSpec="center" w:tblpY="903"/>
        <w:tblW w:w="8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0"/>
        <w:gridCol w:w="1536"/>
        <w:gridCol w:w="559"/>
        <w:gridCol w:w="512"/>
        <w:gridCol w:w="788"/>
        <w:gridCol w:w="485"/>
        <w:gridCol w:w="630"/>
        <w:gridCol w:w="595"/>
        <w:gridCol w:w="595"/>
        <w:gridCol w:w="630"/>
        <w:gridCol w:w="735"/>
        <w:gridCol w:w="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6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课程类别</w:t>
            </w:r>
          </w:p>
        </w:tc>
        <w:tc>
          <w:tcPr>
            <w:tcW w:w="153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课程名称</w:t>
            </w:r>
          </w:p>
        </w:tc>
        <w:tc>
          <w:tcPr>
            <w:tcW w:w="55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学</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分</w:t>
            </w:r>
          </w:p>
        </w:tc>
        <w:tc>
          <w:tcPr>
            <w:tcW w:w="51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总</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学</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时</w:t>
            </w:r>
          </w:p>
        </w:tc>
        <w:tc>
          <w:tcPr>
            <w:tcW w:w="78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考试</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（考查）</w:t>
            </w:r>
          </w:p>
        </w:tc>
        <w:tc>
          <w:tcPr>
            <w:tcW w:w="48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实</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践</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学</w:t>
            </w:r>
          </w:p>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时</w:t>
            </w:r>
          </w:p>
        </w:tc>
        <w:tc>
          <w:tcPr>
            <w:tcW w:w="390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各学期周数、学分分配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1536"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55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512"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48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1</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3</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4</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5</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b/>
                <w:bCs/>
                <w:color w:val="000000"/>
                <w:kern w:val="0"/>
                <w:sz w:val="18"/>
                <w:szCs w:val="18"/>
                <w:lang w:val="en-US" w:eastAsia="zh-CN"/>
              </w:rPr>
            </w:pPr>
            <w:r>
              <w:rPr>
                <w:rFonts w:hint="eastAsia" w:ascii="宋体" w:hAnsi="宋体" w:eastAsia="宋体" w:cs="Times New Roman"/>
                <w:b/>
                <w:bCs/>
                <w:color w:val="000000"/>
                <w:kern w:val="0"/>
                <w:sz w:val="18"/>
                <w:szCs w:val="18"/>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1536"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559"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512"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485"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0" w:lineRule="atLeast"/>
              <w:ind w:firstLine="0"/>
              <w:rPr>
                <w:rFonts w:ascii="仿宋" w:hAnsi="仿宋" w:eastAsia="仿宋" w:cs="仿宋"/>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16</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16+1</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16</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10+10</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jc w:val="center"/>
        </w:trPr>
        <w:tc>
          <w:tcPr>
            <w:tcW w:w="6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公共基础必修</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毛泽东思想和中国特色社会主义理论体系概论1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思想道德与法治1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形势与政策1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体育1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心理健康教育1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计算机应用基础1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实用英语1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职业生涯规划与职业指导</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心理健康教育2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1</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计算机应用基础2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大学生安全教育</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毛泽东思想和中国特色社会主义理论体系概论2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思想道德与法治2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习近平新时代中国特色社会主义思想概论</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形势与政策2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互联网+创业实践</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计算机应用基础3</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形势与政策3</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大学语文</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形势与政策4</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0.5</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体育2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实用英语2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军事理论与训练</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实用英语3</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实用英语4</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劳动教育</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715" w:type="dxa"/>
            <w:tcBorders>
              <w:top w:val="single" w:color="000000" w:sz="4" w:space="0"/>
              <w:left w:val="single" w:color="000000" w:sz="4" w:space="0"/>
              <w:bottom w:val="single" w:color="000000" w:sz="4" w:space="0"/>
              <w:right w:val="single" w:color="000000" w:sz="4" w:space="0"/>
            </w:tcBorders>
            <w:noWrap/>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小计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44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710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222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w:t>
            </w:r>
            <w:r>
              <w:rPr>
                <w:rFonts w:hint="eastAsia" w:ascii="宋体" w:hAnsi="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cs="Times New Roman"/>
                <w:color w:val="000000"/>
                <w:kern w:val="0"/>
                <w:sz w:val="18"/>
                <w:szCs w:val="18"/>
                <w:lang w:val="en-US" w:eastAsia="zh-CN"/>
              </w:rPr>
              <w:t>10.5</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4.5</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jc w:val="center"/>
        </w:trPr>
        <w:tc>
          <w:tcPr>
            <w:tcW w:w="6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公共基础选修</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公共艺术选修</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327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2，任意一学期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公共通识选修</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327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4，任意一学期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小计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6</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96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专业</w:t>
            </w:r>
          </w:p>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必修</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产品快速表现</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人机工程学</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设计基础</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结构素描</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eastAsia="宋体" w:cs="Times New Roman"/>
                <w:color w:val="000000"/>
                <w:kern w:val="0"/>
                <w:sz w:val="18"/>
                <w:szCs w:val="18"/>
                <w:lang w:val="en-US" w:eastAsia="zh-CN"/>
              </w:rPr>
              <w:t>色彩与搭配</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eastAsia="宋体" w:cs="Times New Roman"/>
                <w:color w:val="000000"/>
                <w:kern w:val="0"/>
                <w:sz w:val="18"/>
                <w:szCs w:val="18"/>
                <w:lang w:val="en-US" w:eastAsia="zh-CN"/>
              </w:rPr>
              <w:t>28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工业设计史</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机械制图与CAD★</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96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创作采风</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1周</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计算机辅助设计PHOTOSHOP</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计算机辅助设计RHINO★</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视觉传达设计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4</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模型设计与制作★</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产品改良设计★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材料造型与成型工艺★</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4</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产品开发★</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考试</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认识实习</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2周</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岗位实习1</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240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240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8周</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岗位实习2</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420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420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14周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小计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76</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default" w:ascii="宋体" w:hAnsi="宋体" w:eastAsia="宋体" w:cs="Times New Roman"/>
                <w:color w:val="000000"/>
                <w:kern w:val="0"/>
                <w:sz w:val="18"/>
                <w:szCs w:val="18"/>
                <w:lang w:val="en-US" w:eastAsia="zh-CN"/>
              </w:rPr>
              <w:t>1</w:t>
            </w:r>
            <w:r>
              <w:rPr>
                <w:rFonts w:hint="eastAsia" w:ascii="宋体" w:hAnsi="宋体" w:eastAsia="宋体" w:cs="Times New Roman"/>
                <w:color w:val="000000"/>
                <w:kern w:val="0"/>
                <w:sz w:val="18"/>
                <w:szCs w:val="18"/>
                <w:lang w:val="en-US" w:eastAsia="zh-CN"/>
              </w:rPr>
              <w:t>468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default" w:ascii="宋体" w:hAnsi="宋体" w:eastAsia="宋体" w:cs="Times New Roman"/>
                <w:color w:val="000000"/>
                <w:kern w:val="0"/>
                <w:sz w:val="18"/>
                <w:szCs w:val="18"/>
                <w:lang w:val="en-US" w:eastAsia="zh-CN"/>
              </w:rPr>
              <w:t>1</w:t>
            </w:r>
            <w:r>
              <w:rPr>
                <w:rFonts w:hint="eastAsia" w:ascii="宋体" w:hAnsi="宋体" w:eastAsia="宋体" w:cs="Times New Roman"/>
                <w:color w:val="000000"/>
                <w:kern w:val="0"/>
                <w:sz w:val="18"/>
                <w:szCs w:val="18"/>
                <w:lang w:val="en-US" w:eastAsia="zh-CN"/>
              </w:rPr>
              <w:t>280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11</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w:t>
            </w:r>
            <w:r>
              <w:rPr>
                <w:rFonts w:hint="eastAsia" w:ascii="宋体" w:hAnsi="宋体" w:cs="Times New Roman"/>
                <w:color w:val="000000"/>
                <w:kern w:val="0"/>
                <w:sz w:val="18"/>
                <w:szCs w:val="18"/>
                <w:lang w:val="en-US" w:eastAsia="zh-CN"/>
              </w:rPr>
              <w:t>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18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8</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10</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restart"/>
            <w:tcBorders>
              <w:top w:val="single" w:color="000000" w:sz="4" w:space="0"/>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专业</w:t>
            </w:r>
          </w:p>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选修</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创新创业教育</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商业摄影</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28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文创产品设计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UI设计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80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64</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5</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620" w:type="dxa"/>
            <w:vMerge w:val="continue"/>
            <w:tcBorders>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虚拟现实技术</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32</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eastAsia="宋体" w:cs="Times New Roman"/>
                <w:color w:val="000000"/>
                <w:kern w:val="0"/>
                <w:sz w:val="18"/>
                <w:szCs w:val="18"/>
                <w:lang w:val="en-US" w:eastAsia="zh-CN"/>
              </w:rPr>
              <w:t>28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left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设计与智能制造</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64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考查</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r>
              <w:rPr>
                <w:rFonts w:hint="eastAsia" w:ascii="宋体" w:hAnsi="宋体" w:eastAsia="宋体" w:cs="Times New Roman"/>
                <w:color w:val="000000"/>
                <w:kern w:val="0"/>
                <w:sz w:val="18"/>
                <w:szCs w:val="18"/>
                <w:lang w:val="en-US" w:eastAsia="zh-CN"/>
              </w:rPr>
              <w:t>4</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620" w:type="dxa"/>
            <w:vMerge w:val="continue"/>
            <w:tcBorders>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小计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19</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304</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lang w:val="en-US" w:eastAsia="zh-CN"/>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216</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11</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8</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21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合计</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14</w:t>
            </w:r>
            <w:r>
              <w:rPr>
                <w:rFonts w:hint="eastAsia" w:ascii="宋体" w:hAnsi="宋体" w:eastAsia="宋体" w:cs="Times New Roman"/>
                <w:color w:val="000000"/>
                <w:kern w:val="0"/>
                <w:sz w:val="18"/>
                <w:szCs w:val="18"/>
                <w:lang w:val="en-US" w:eastAsia="zh-CN"/>
              </w:rPr>
              <w:t>5</w:t>
            </w:r>
          </w:p>
        </w:tc>
        <w:tc>
          <w:tcPr>
            <w:tcW w:w="512"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2578</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eastAsia" w:ascii="宋体" w:hAnsi="宋体" w:eastAsia="宋体" w:cs="Times New Roman"/>
                <w:color w:val="000000"/>
                <w:kern w:val="0"/>
                <w:sz w:val="18"/>
                <w:szCs w:val="18"/>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1718</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default" w:ascii="宋体" w:hAnsi="宋体" w:eastAsia="宋体" w:cs="Times New Roman"/>
                <w:color w:val="000000"/>
                <w:kern w:val="0"/>
                <w:sz w:val="18"/>
                <w:szCs w:val="18"/>
                <w:lang w:val="en-US" w:eastAsia="zh-CN"/>
              </w:rPr>
              <w:t>2</w:t>
            </w:r>
            <w:r>
              <w:rPr>
                <w:rFonts w:hint="eastAsia" w:ascii="宋体" w:hAnsi="宋体" w:eastAsia="宋体" w:cs="Times New Roman"/>
                <w:color w:val="000000"/>
                <w:kern w:val="0"/>
                <w:sz w:val="18"/>
                <w:szCs w:val="18"/>
                <w:lang w:val="en-US" w:eastAsia="zh-CN"/>
              </w:rPr>
              <w:t>5</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eastAsia="zh-CN"/>
              </w:rPr>
            </w:pPr>
            <w:r>
              <w:rPr>
                <w:rFonts w:hint="eastAsia" w:ascii="宋体" w:hAnsi="宋体" w:cs="Times New Roman"/>
                <w:color w:val="000000"/>
                <w:kern w:val="0"/>
                <w:sz w:val="18"/>
                <w:szCs w:val="18"/>
                <w:lang w:val="en-US" w:eastAsia="zh-CN"/>
              </w:rPr>
              <w:t>29</w:t>
            </w:r>
          </w:p>
        </w:tc>
        <w:tc>
          <w:tcPr>
            <w:tcW w:w="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lang w:val="en-US"/>
              </w:rPr>
            </w:pPr>
            <w:r>
              <w:rPr>
                <w:rFonts w:hint="eastAsia" w:ascii="宋体" w:hAnsi="宋体" w:cs="Times New Roman"/>
                <w:color w:val="000000"/>
                <w:kern w:val="0"/>
                <w:sz w:val="18"/>
                <w:szCs w:val="18"/>
                <w:lang w:val="en-US" w:eastAsia="zh-CN"/>
              </w:rPr>
              <w:t>28.5</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23.5</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19</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0" w:line="276" w:lineRule="auto"/>
              <w:jc w:val="left"/>
              <w:rPr>
                <w:rFonts w:hint="default" w:ascii="宋体" w:hAnsi="宋体" w:eastAsia="宋体" w:cs="Times New Roman"/>
                <w:color w:val="000000"/>
                <w:kern w:val="0"/>
                <w:sz w:val="18"/>
                <w:szCs w:val="18"/>
              </w:rPr>
            </w:pPr>
            <w:r>
              <w:rPr>
                <w:rFonts w:hint="default" w:ascii="宋体" w:hAnsi="宋体" w:eastAsia="宋体" w:cs="Times New Roman"/>
                <w:color w:val="000000"/>
                <w:kern w:val="0"/>
                <w:sz w:val="18"/>
                <w:szCs w:val="18"/>
                <w:lang w:val="en-US" w:eastAsia="zh-CN"/>
              </w:rPr>
              <w:t>14</w:t>
            </w:r>
          </w:p>
        </w:tc>
      </w:tr>
    </w:tbl>
    <w:p>
      <w:pPr>
        <w:widowControl/>
        <w:spacing w:after="0" w:line="276" w:lineRule="auto"/>
        <w:jc w:val="left"/>
        <w:rPr>
          <w:rFonts w:hint="eastAsia" w:ascii="宋体" w:hAnsi="宋体" w:eastAsia="宋体" w:cs="Times New Roman"/>
          <w:color w:val="000000"/>
          <w:kern w:val="0"/>
          <w:sz w:val="18"/>
          <w:szCs w:val="18"/>
        </w:rPr>
      </w:pPr>
      <w:bookmarkStart w:id="8" w:name="_Hlk43831433"/>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楷体"/>
          <w:spacing w:val="0"/>
          <w:kern w:val="2"/>
          <w:position w:val="0"/>
          <w:sz w:val="18"/>
          <w:szCs w:val="18"/>
        </w:rPr>
      </w:pPr>
      <w:r>
        <w:rPr>
          <w:rFonts w:hint="eastAsia" w:ascii="宋体" w:hAnsi="宋体" w:cs="楷体"/>
          <w:spacing w:val="0"/>
          <w:kern w:val="2"/>
          <w:position w:val="0"/>
          <w:sz w:val="18"/>
          <w:szCs w:val="18"/>
        </w:rPr>
        <w:t>注：1.★所示为专业核心课程。</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楷体"/>
          <w:spacing w:val="0"/>
          <w:kern w:val="2"/>
          <w:position w:val="0"/>
          <w:sz w:val="18"/>
          <w:szCs w:val="18"/>
        </w:rPr>
      </w:pPr>
      <w:r>
        <w:rPr>
          <w:rFonts w:hint="eastAsia" w:ascii="宋体" w:hAnsi="宋体" w:cs="楷体"/>
          <w:spacing w:val="0"/>
          <w:kern w:val="2"/>
          <w:position w:val="0"/>
          <w:sz w:val="18"/>
          <w:szCs w:val="18"/>
        </w:rPr>
        <w:t>2.实践教学以周为单位。</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楷体"/>
          <w:spacing w:val="0"/>
          <w:kern w:val="2"/>
          <w:position w:val="0"/>
          <w:sz w:val="18"/>
          <w:szCs w:val="18"/>
        </w:rPr>
      </w:pPr>
      <w:r>
        <w:rPr>
          <w:rFonts w:hint="eastAsia" w:ascii="宋体" w:hAnsi="宋体" w:cs="楷体"/>
          <w:spacing w:val="0"/>
          <w:kern w:val="2"/>
          <w:position w:val="0"/>
          <w:sz w:val="18"/>
          <w:szCs w:val="18"/>
        </w:rPr>
        <w:t>3.各学期周数包括理实一体教学周、实践教学周、入学教育周、军训、顶岗实习周、考试周和机动周。</w:t>
      </w:r>
    </w:p>
    <w:bookmarkEnd w:id="8"/>
    <w:p>
      <w:pPr>
        <w:spacing w:line="0" w:lineRule="atLeast"/>
        <w:ind w:firstLine="0"/>
        <w:rPr>
          <w:rFonts w:ascii="仿宋" w:hAnsi="仿宋" w:eastAsia="仿宋" w:cs="仿宋"/>
        </w:rPr>
      </w:pP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9" w:name="_Toc7433"/>
      <w:r>
        <w:rPr>
          <w:rFonts w:hint="eastAsia" w:ascii="黑体" w:hAnsi="黑体" w:eastAsia="黑体" w:cs="Times New Roman"/>
          <w:b w:val="0"/>
          <w:bCs/>
          <w:kern w:val="2"/>
          <w:sz w:val="24"/>
          <w:szCs w:val="24"/>
          <w:lang w:val="en-US" w:eastAsia="zh-CN"/>
        </w:rPr>
        <w:t>八、实施保障</w:t>
      </w:r>
      <w:bookmarkEnd w:id="9"/>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（一）师资队伍</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630" w:firstLineChars="300"/>
        <w:rPr>
          <w:rFonts w:hint="eastAsia" w:ascii="Times New Roman" w:hAnsi="Times New Roman" w:cs="Times New Roman"/>
          <w:spacing w:val="0"/>
          <w:kern w:val="2"/>
          <w:position w:val="0"/>
          <w:szCs w:val="21"/>
          <w:lang w:val="zh-CN"/>
        </w:rPr>
      </w:pPr>
      <w:r>
        <w:rPr>
          <w:rFonts w:hint="eastAsia" w:ascii="Times New Roman" w:hAnsi="Times New Roman" w:cs="Times New Roman"/>
          <w:spacing w:val="0"/>
          <w:kern w:val="2"/>
          <w:position w:val="0"/>
          <w:szCs w:val="21"/>
          <w:lang w:val="zh-CN"/>
        </w:rPr>
        <w:t>专业教师中包括专业带头人、骨干教师、青年教师、兼职教师，师生配比：1:20。</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CN"/>
        </w:rPr>
      </w:pPr>
      <w:r>
        <w:rPr>
          <w:rFonts w:hint="eastAsia" w:ascii="Times New Roman" w:hAnsi="Times New Roman" w:cs="Times New Roman"/>
          <w:spacing w:val="0"/>
          <w:kern w:val="2"/>
          <w:position w:val="0"/>
          <w:szCs w:val="21"/>
          <w:lang w:val="en-US" w:eastAsia="zh-CN"/>
        </w:rPr>
        <w:t xml:space="preserve">    </w:t>
      </w:r>
      <w:r>
        <w:rPr>
          <w:rFonts w:hint="eastAsia" w:ascii="Times New Roman" w:hAnsi="Times New Roman" w:cs="Times New Roman"/>
          <w:spacing w:val="0"/>
          <w:kern w:val="2"/>
          <w:position w:val="0"/>
          <w:szCs w:val="21"/>
          <w:lang w:val="zh-CN"/>
        </w:rPr>
        <w:t>专任教师具有高校教师资格；有理想信念、有道德情操、有扎实学识、有仁爱之心； 具有</w:t>
      </w:r>
      <w:r>
        <w:rPr>
          <w:rFonts w:hint="eastAsia" w:ascii="Times New Roman" w:hAnsi="Times New Roman" w:cs="Times New Roman"/>
          <w:spacing w:val="0"/>
          <w:kern w:val="2"/>
          <w:position w:val="0"/>
          <w:szCs w:val="21"/>
          <w:lang w:val="en-US" w:eastAsia="zh-CN"/>
        </w:rPr>
        <w:t>产品艺术设计</w:t>
      </w:r>
      <w:r>
        <w:rPr>
          <w:rFonts w:hint="eastAsia" w:ascii="Times New Roman" w:hAnsi="Times New Roman" w:cs="Times New Roman"/>
          <w:spacing w:val="0"/>
          <w:kern w:val="2"/>
          <w:position w:val="0"/>
          <w:szCs w:val="21"/>
          <w:lang w:val="zh-CN"/>
        </w:rPr>
        <w:t>等相关专业</w:t>
      </w:r>
      <w:r>
        <w:rPr>
          <w:rFonts w:hint="eastAsia" w:ascii="Times New Roman" w:hAnsi="Times New Roman" w:cs="Times New Roman"/>
          <w:spacing w:val="0"/>
          <w:kern w:val="2"/>
          <w:position w:val="0"/>
          <w:szCs w:val="21"/>
          <w:lang w:val="en-US" w:eastAsia="zh-CN"/>
        </w:rPr>
        <w:t>硕士</w:t>
      </w:r>
      <w:r>
        <w:rPr>
          <w:rFonts w:hint="eastAsia" w:ascii="Times New Roman" w:hAnsi="Times New Roman" w:cs="Times New Roman"/>
          <w:spacing w:val="0"/>
          <w:kern w:val="2"/>
          <w:position w:val="0"/>
          <w:szCs w:val="21"/>
          <w:lang w:val="zh-CN"/>
        </w:rPr>
        <w:t>及以上学历；具有扎实的本专业相关理论功底和实践能力；具有较强信息化教学能力，能够开展课程教学改革和科学研究；有每5年累计6 个月的企业实践经历。持有与本专业对口的高级工及以上职业资格证书，有国外培训或1年以上的企业实践经历。</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CN"/>
        </w:rPr>
      </w:pPr>
      <w:r>
        <w:rPr>
          <w:rFonts w:hint="eastAsia" w:ascii="Times New Roman" w:hAnsi="Times New Roman" w:cs="Times New Roman"/>
          <w:spacing w:val="0"/>
          <w:kern w:val="2"/>
          <w:position w:val="0"/>
          <w:szCs w:val="21"/>
          <w:lang w:val="en-US" w:eastAsia="zh-CN"/>
        </w:rPr>
        <w:t xml:space="preserve">    </w:t>
      </w:r>
      <w:r>
        <w:rPr>
          <w:rFonts w:hint="eastAsia" w:ascii="Times New Roman" w:hAnsi="Times New Roman" w:cs="Times New Roman"/>
          <w:spacing w:val="0"/>
          <w:kern w:val="2"/>
          <w:position w:val="0"/>
          <w:szCs w:val="21"/>
          <w:lang w:val="zh-CN"/>
        </w:rPr>
        <w:t>兼职教师主要从本专业相关的行业企业聘任，具备良好的思想政治素质、职业道德和工匠精神，具有扎实的专业知识和丰富的实际工作经验，具有中级及以上相关专业职称），能担专业课程教学、实习实训指导和学生职业发展规划指导等教学任务。企业兼职教师拥有国内知名或外资企业相关岗位5年以上工作经历。</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（二）教学设施</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教学设施基本满足本专业人才培养实施需要，其中有关实训条件应达到有关专业实训教学条件建设标准（仪器设备配备规范）要求。信息化条件保障能满足专业建设、教学管理、信息化教学、使用数字化教学资源、学生自主学习等的需要。部分校企开发课程可以在校外实践基地实施教学。</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CN"/>
        </w:rPr>
      </w:pPr>
      <w:r>
        <w:rPr>
          <w:rFonts w:hint="eastAsia" w:ascii="Times New Roman" w:hAnsi="Times New Roman" w:cs="Times New Roman"/>
          <w:spacing w:val="0"/>
          <w:kern w:val="2"/>
          <w:position w:val="0"/>
          <w:szCs w:val="21"/>
          <w:lang w:val="zh-TW" w:eastAsia="zh-TW"/>
        </w:rPr>
        <w:t>产品艺术设计专业实训、实验装备见表</w:t>
      </w:r>
      <w:r>
        <w:rPr>
          <w:rFonts w:hint="eastAsia" w:ascii="Times New Roman" w:hAnsi="Times New Roman" w:cs="Times New Roman"/>
          <w:spacing w:val="0"/>
          <w:kern w:val="2"/>
          <w:position w:val="0"/>
          <w:szCs w:val="21"/>
          <w:lang w:val="en-US" w:eastAsia="zh-CN"/>
        </w:rPr>
        <w:t>6</w:t>
      </w:r>
      <w:r>
        <w:rPr>
          <w:rFonts w:hint="eastAsia" w:ascii="Times New Roman" w:hAnsi="Times New Roman" w:cs="Times New Roman"/>
          <w:spacing w:val="0"/>
          <w:kern w:val="2"/>
          <w:position w:val="0"/>
          <w:szCs w:val="21"/>
          <w:lang w:val="zh-CN"/>
        </w:rPr>
        <w:t>。</w:t>
      </w:r>
    </w:p>
    <w:p>
      <w:pPr>
        <w:ind w:firstLine="422"/>
        <w:jc w:val="center"/>
        <w:rPr>
          <w:rFonts w:hint="eastAsia" w:ascii="仿宋" w:hAnsi="仿宋" w:eastAsia="仿宋" w:cs="仿宋"/>
          <w:b/>
          <w:bCs/>
          <w:color w:val="000000"/>
          <w:spacing w:val="0"/>
          <w:kern w:val="2"/>
          <w:position w:val="0"/>
          <w:sz w:val="21"/>
          <w:szCs w:val="21"/>
          <w:lang w:val="zh-CN" w:eastAsia="zh-TW" w:bidi="zh-TW"/>
        </w:rPr>
      </w:pPr>
      <w:r>
        <w:rPr>
          <w:rFonts w:hint="eastAsia" w:ascii="仿宋" w:hAnsi="仿宋" w:eastAsia="仿宋" w:cs="仿宋"/>
          <w:b/>
          <w:bCs/>
          <w:color w:val="000000"/>
          <w:spacing w:val="0"/>
          <w:kern w:val="2"/>
          <w:position w:val="0"/>
          <w:sz w:val="21"/>
          <w:szCs w:val="21"/>
          <w:lang w:val="zh-CN" w:eastAsia="zh-TW" w:bidi="zh-TW"/>
        </w:rPr>
        <w:t>表</w:t>
      </w:r>
      <w:r>
        <w:rPr>
          <w:rFonts w:hint="eastAsia" w:ascii="仿宋" w:hAnsi="仿宋" w:eastAsia="仿宋" w:cs="仿宋"/>
          <w:b/>
          <w:bCs/>
          <w:color w:val="000000"/>
          <w:spacing w:val="0"/>
          <w:kern w:val="2"/>
          <w:position w:val="0"/>
          <w:sz w:val="21"/>
          <w:szCs w:val="21"/>
          <w:lang w:val="en-US" w:eastAsia="zh-CN" w:bidi="zh-TW"/>
        </w:rPr>
        <w:t>6</w:t>
      </w:r>
      <w:r>
        <w:rPr>
          <w:rFonts w:hint="eastAsia" w:ascii="仿宋" w:hAnsi="仿宋" w:eastAsia="仿宋" w:cs="仿宋"/>
          <w:b/>
          <w:bCs/>
          <w:color w:val="000000"/>
          <w:spacing w:val="0"/>
          <w:kern w:val="2"/>
          <w:position w:val="0"/>
          <w:sz w:val="21"/>
          <w:szCs w:val="21"/>
          <w:lang w:val="zh-CN" w:eastAsia="zh-TW" w:bidi="zh-TW"/>
        </w:rPr>
        <w:t>实训室装备配备表</w:t>
      </w:r>
    </w:p>
    <w:tbl>
      <w:tblPr>
        <w:tblStyle w:val="7"/>
        <w:tblW w:w="8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2378"/>
        <w:gridCol w:w="2405"/>
        <w:gridCol w:w="871"/>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37"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实训室名称</w:t>
            </w:r>
          </w:p>
        </w:tc>
        <w:tc>
          <w:tcPr>
            <w:tcW w:w="237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实训室功能</w:t>
            </w:r>
          </w:p>
        </w:tc>
        <w:tc>
          <w:tcPr>
            <w:tcW w:w="2405"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基本设备</w:t>
            </w:r>
          </w:p>
        </w:tc>
        <w:tc>
          <w:tcPr>
            <w:tcW w:w="87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台/套数/工位</w:t>
            </w:r>
          </w:p>
        </w:tc>
        <w:tc>
          <w:tcPr>
            <w:tcW w:w="1382"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适用范围</w:t>
            </w:r>
          </w:p>
          <w:p>
            <w:pPr>
              <w:pBdr>
                <w:top w:val="none" w:color="auto" w:sz="0" w:space="0"/>
                <w:left w:val="none" w:color="auto" w:sz="0" w:space="0"/>
                <w:bottom w:val="none" w:color="auto" w:sz="0" w:space="0"/>
                <w:right w:val="none" w:color="auto" w:sz="0" w:space="0"/>
                <w:between w:val="none" w:color="auto" w:sz="0" w:space="0"/>
              </w:pBdr>
              <w:shd w:val="clear" w:color="auto" w:fill="auto"/>
              <w:snapToGrid w:val="0"/>
              <w:spacing w:before="0" w:beforeAutospacing="0" w:after="160" w:afterAutospacing="0" w:line="276" w:lineRule="auto"/>
              <w:ind w:left="0" w:right="0" w:firstLine="0"/>
              <w:jc w:val="center"/>
              <w:rPr>
                <w:rFonts w:hint="eastAsia" w:ascii="宋体" w:hAnsi="宋体" w:cs="Times New Roman"/>
                <w:b/>
                <w:spacing w:val="0"/>
                <w:kern w:val="2"/>
                <w:position w:val="0"/>
                <w:sz w:val="18"/>
                <w:szCs w:val="18"/>
              </w:rPr>
            </w:pPr>
            <w:r>
              <w:rPr>
                <w:rFonts w:hint="eastAsia" w:ascii="宋体" w:hAnsi="宋体" w:cs="Times New Roman"/>
                <w:b/>
                <w:spacing w:val="0"/>
                <w:kern w:val="2"/>
                <w:position w:val="0"/>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色彩实训工场</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能开展水彩、水粉静物写生训练。</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定制的静物写生台、照明灯具、静物器皿及各色水果、画架画板等。</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40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色彩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素描实训工场</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能开展结构素描、写实素描绘画写生训练。</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定制的静物写生台、照明灯具、静物器皿及各色水果、石膏像、画架画板等。</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40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结构素描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计算机辅助设计实训室</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能以计算机技术为核心，结合计算机辅助设计RHINO和其他软件，训练生成与一定范围真实环境近似，在视、听等方面高度近似现实的数字化环境。</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计算机、投影仪、计算机辅助设计软件、仿真软件。</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40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机械制图与CAD，计算机辅助设计RHINO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二维绘图实训机房</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能使用计算机辅助绘图与图形处理软件，进行二维工程图绘制及图像处理的能力。</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计算机、投影仪、计算机辅助设计软件、图像处理软件。</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40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CAD辅助设计</w:t>
            </w:r>
          </w:p>
          <w:p>
            <w:pPr>
              <w:spacing w:line="0" w:lineRule="atLeast"/>
              <w:ind w:firstLine="0"/>
              <w:jc w:val="center"/>
              <w:rPr>
                <w:rFonts w:ascii="仿宋" w:hAnsi="仿宋" w:eastAsia="仿宋" w:cs="仿宋"/>
              </w:rPr>
            </w:pPr>
            <w:r>
              <w:rPr>
                <w:rFonts w:hint="eastAsia" w:ascii="仿宋" w:hAnsi="仿宋" w:eastAsia="仿宋" w:cs="仿宋"/>
              </w:rPr>
              <w:t>图像处理</w:t>
            </w:r>
          </w:p>
          <w:p>
            <w:pPr>
              <w:spacing w:line="0" w:lineRule="atLeast"/>
              <w:ind w:firstLine="0"/>
              <w:jc w:val="center"/>
              <w:rPr>
                <w:rFonts w:ascii="仿宋" w:hAnsi="仿宋" w:eastAsia="仿宋" w:cs="仿宋"/>
              </w:rPr>
            </w:pPr>
            <w:r>
              <w:rPr>
                <w:rFonts w:hint="eastAsia" w:ascii="仿宋" w:hAnsi="仿宋" w:eastAsia="仿宋" w:cs="仿宋"/>
              </w:rPr>
              <w:t>UI设计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工程绘图一体化教室</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能使用绘画工具及设备，进行手绘效果图及方案草图制作的能力。</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绘图板、绘图仪、拷贝台及气压喷绘笔及气泵。</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40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设计表现技法</w:t>
            </w:r>
          </w:p>
          <w:p>
            <w:pPr>
              <w:spacing w:line="0" w:lineRule="atLeast"/>
              <w:ind w:firstLine="0"/>
              <w:jc w:val="center"/>
              <w:rPr>
                <w:rFonts w:ascii="仿宋" w:hAnsi="仿宋" w:eastAsia="仿宋" w:cs="仿宋"/>
              </w:rPr>
            </w:pPr>
            <w:r>
              <w:rPr>
                <w:rFonts w:hint="eastAsia" w:ascii="仿宋" w:hAnsi="仿宋" w:eastAsia="仿宋" w:cs="仿宋"/>
              </w:rPr>
              <w:t>机械制图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37"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摄影棚</w:t>
            </w:r>
          </w:p>
        </w:tc>
        <w:tc>
          <w:tcPr>
            <w:tcW w:w="2378"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能掌握摄影基本技巧，能熟练使用摄影设备进行拍摄工作任务</w:t>
            </w:r>
          </w:p>
        </w:tc>
        <w:tc>
          <w:tcPr>
            <w:tcW w:w="2405"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相关摄影设备若干</w:t>
            </w:r>
          </w:p>
        </w:tc>
        <w:tc>
          <w:tcPr>
            <w:tcW w:w="871"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20</w:t>
            </w:r>
          </w:p>
        </w:tc>
        <w:tc>
          <w:tcPr>
            <w:tcW w:w="1382" w:type="dxa"/>
            <w:noWrap w:val="0"/>
            <w:vAlign w:val="center"/>
          </w:tcPr>
          <w:p>
            <w:pPr>
              <w:spacing w:line="0" w:lineRule="atLeast"/>
              <w:ind w:firstLine="0"/>
              <w:jc w:val="center"/>
              <w:rPr>
                <w:rFonts w:ascii="仿宋" w:hAnsi="仿宋" w:eastAsia="仿宋" w:cs="仿宋"/>
              </w:rPr>
            </w:pPr>
            <w:r>
              <w:rPr>
                <w:rFonts w:hint="eastAsia" w:ascii="仿宋" w:hAnsi="仿宋" w:eastAsia="仿宋" w:cs="仿宋"/>
              </w:rPr>
              <w:t>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37"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leftChars="0" w:right="0" w:firstLine="0" w:firstLineChars="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模型制作实训室</w:t>
            </w:r>
          </w:p>
        </w:tc>
        <w:tc>
          <w:tcPr>
            <w:tcW w:w="237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能使用木工工具进行简易家具或模型的制作与加工。</w:t>
            </w:r>
          </w:p>
        </w:tc>
        <w:tc>
          <w:tcPr>
            <w:tcW w:w="2405"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计算机、木工工具、木工CNC、线锯、三维雕刻机等。</w:t>
            </w:r>
          </w:p>
        </w:tc>
        <w:tc>
          <w:tcPr>
            <w:tcW w:w="87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CNC 1台雕刻机1台</w:t>
            </w:r>
          </w:p>
        </w:tc>
        <w:tc>
          <w:tcPr>
            <w:tcW w:w="1382"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造型材料与成型工艺</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模型设计与制作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37"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leftChars="0" w:right="0" w:firstLine="0" w:firstLineChars="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陶艺实训室</w:t>
            </w:r>
          </w:p>
        </w:tc>
        <w:tc>
          <w:tcPr>
            <w:tcW w:w="237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能使用相关工具及设备进行陶瓷文创产品开发。</w:t>
            </w:r>
          </w:p>
        </w:tc>
        <w:tc>
          <w:tcPr>
            <w:tcW w:w="2405"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电窑一台、拉坯机、相关工具若干</w:t>
            </w:r>
          </w:p>
        </w:tc>
        <w:tc>
          <w:tcPr>
            <w:tcW w:w="87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电窑一台、拉坯机4台</w:t>
            </w:r>
          </w:p>
        </w:tc>
        <w:tc>
          <w:tcPr>
            <w:tcW w:w="1382"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产品开发</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文创设计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leftChars="0" w:right="0" w:firstLine="0" w:firstLineChars="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智能制造实训室</w:t>
            </w:r>
          </w:p>
        </w:tc>
        <w:tc>
          <w:tcPr>
            <w:tcW w:w="237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能使用相关设备进行立体扫描、三维打印、VR演示。</w:t>
            </w:r>
          </w:p>
        </w:tc>
        <w:tc>
          <w:tcPr>
            <w:tcW w:w="2405"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三维扫描仪、三维打印机、VR相关设备</w:t>
            </w:r>
          </w:p>
        </w:tc>
        <w:tc>
          <w:tcPr>
            <w:tcW w:w="87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1套</w:t>
            </w:r>
          </w:p>
        </w:tc>
        <w:tc>
          <w:tcPr>
            <w:tcW w:w="1382"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设计与智能制造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leftChars="0" w:right="0" w:firstLine="0" w:firstLineChars="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当代首饰工作室</w:t>
            </w:r>
          </w:p>
        </w:tc>
        <w:tc>
          <w:tcPr>
            <w:tcW w:w="237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基于金属材料的设计制作实训，学生通过创作实践了解金属加工工艺，掌握基本制作技法，提升材料综合设计应用能力。</w:t>
            </w:r>
          </w:p>
        </w:tc>
        <w:tc>
          <w:tcPr>
            <w:tcW w:w="2405"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熔焊机2台</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吊机6台</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手工工具6套</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压片拉丝机1台</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磁力抛光机1台</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打磨机1台</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切割机1台</w:t>
            </w:r>
          </w:p>
        </w:tc>
        <w:tc>
          <w:tcPr>
            <w:tcW w:w="87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16个</w:t>
            </w:r>
          </w:p>
        </w:tc>
        <w:tc>
          <w:tcPr>
            <w:tcW w:w="1382"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360" w:firstLineChars="200"/>
              <w:rPr>
                <w:rFonts w:hint="eastAsia" w:ascii="宋体" w:hAnsi="宋体" w:cs="Times New Roman"/>
                <w:color w:val="000000"/>
                <w:spacing w:val="0"/>
                <w:kern w:val="2"/>
                <w:position w:val="0"/>
                <w:sz w:val="18"/>
                <w:szCs w:val="18"/>
              </w:rPr>
            </w:pPr>
            <w:r>
              <w:rPr>
                <w:rFonts w:hint="eastAsia" w:ascii="宋体" w:hAnsi="宋体" w:cs="Times New Roman"/>
                <w:color w:val="000000"/>
                <w:spacing w:val="0"/>
                <w:kern w:val="2"/>
                <w:position w:val="0"/>
                <w:sz w:val="18"/>
                <w:szCs w:val="18"/>
              </w:rPr>
              <w:t>材料造型与成型工艺</w:t>
            </w:r>
          </w:p>
        </w:tc>
      </w:tr>
    </w:tbl>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（三）教学资源</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本专业执行国家和上海市关于教材选用的有关文件规定，完善教材选用制度，经过规范程序选用教材，优化选用职业教育国家规划教材、省级规划教材，根据需要编写校本特色教材，禁止有意识形态问题和不合格的教材进入课堂。图书、文献配备满足学生全面培养、教科研工作、专业建设等的需要，方便师生查询、借阅。数字资源配备主要包括与专业有关的音视频素材、教学课件、案例库、虚拟仿真软件、数字教材等，种类丰富、形式多样、使用便捷、满足教学。</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（四）教学方法</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积极引入设计领域新技术，加强信息化技术在教育教学中的应用，改进教学方式。</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立德树人，思政教育引领专业课堂，培养有理想有道德有职业素质的新型高技能人才。</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以学生为中心，用设计项目引领设计教学，坚持学中做，做中学，强化设计思维训练，培养学生开阔的设计视野与信息化能力。</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rPr>
      </w:pPr>
      <w:r>
        <w:rPr>
          <w:rFonts w:hint="eastAsia" w:ascii="Times New Roman" w:hAnsi="Times New Roman" w:cs="Times New Roman"/>
          <w:spacing w:val="0"/>
          <w:kern w:val="2"/>
          <w:position w:val="0"/>
          <w:szCs w:val="21"/>
        </w:rPr>
        <w:t>突出专业特色，为学生提供动手制作的平台，依托设计与艺术学院各个材料工作室培养学生“匠心”，让产品设计不止于纸面。</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（五）教学评价</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设计与艺术学院将加强对教学过程的质量监控，鼓励教师改革教学评价和标准和方法。教师对学生的学业考核评价内容应兼顾认知、技能、情感等方面，评价应体现评价标准、评价主体、评价方式、评价过程的多元化，如可采用过程性考核、笔试、上机操作、职业技能大赛、职业资格鉴定等评价、评定方式，鼓励开展学生自评互评。</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80" w:firstLineChars="200"/>
        <w:rPr>
          <w:rFonts w:hint="eastAsia" w:ascii="Times New Roman" w:hAnsi="Times New Roman" w:cs="Times New Roman"/>
          <w:spacing w:val="0"/>
          <w:kern w:val="2"/>
          <w:position w:val="0"/>
          <w:sz w:val="24"/>
          <w:szCs w:val="24"/>
          <w:lang w:val="zh-CN"/>
        </w:rPr>
      </w:pPr>
      <w:r>
        <w:rPr>
          <w:rFonts w:hint="eastAsia" w:ascii="Times New Roman" w:hAnsi="Times New Roman" w:cs="Times New Roman"/>
          <w:spacing w:val="0"/>
          <w:kern w:val="2"/>
          <w:position w:val="0"/>
          <w:sz w:val="24"/>
          <w:szCs w:val="24"/>
          <w:lang w:val="zh-CN"/>
        </w:rPr>
        <w:t>（六）质量管理</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1.组织保障</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建立由学院教务处、教学督导委员会和督导室为核心，各教学单位及工作室为重点的二级人才培养质量监控与保障体系。</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2.制度保障</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建立健全校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3.质量监控</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为确保人才培养质量，学院建立质量监控体系。质量监控包括人才培养目标监控、人才培养方案和教学大纲监控、教学过程监控、学生信息反馈、教材质量监控。</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（1）人才培养目标监控。</w:t>
      </w:r>
      <w:r>
        <w:rPr>
          <w:rFonts w:hint="eastAsia" w:ascii="Times New Roman" w:hAnsi="Times New Roman" w:cs="Times New Roman"/>
          <w:spacing w:val="0"/>
          <w:kern w:val="2"/>
          <w:position w:val="0"/>
          <w:szCs w:val="21"/>
          <w:lang w:val="en-US" w:eastAsia="zh-CN"/>
        </w:rPr>
        <w:t>完善人才培养方案修订审核制度，</w:t>
      </w:r>
      <w:r>
        <w:rPr>
          <w:rFonts w:hint="eastAsia" w:ascii="Times New Roman" w:hAnsi="Times New Roman" w:cs="Times New Roman"/>
          <w:spacing w:val="0"/>
          <w:kern w:val="2"/>
          <w:position w:val="0"/>
          <w:szCs w:val="21"/>
          <w:lang w:val="zh-TW" w:eastAsia="zh-TW"/>
        </w:rPr>
        <w:t>培养具有职业素养、职业能力、创新精神创业能力、可持续发展能力的高素质技能人才。</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（2）人才培养方案和教学大纲制订与执行监控。人才培养方案和教学大纲是组织和实施人才培养工作的核心教学文件，也是开展教学工作和对教学工作监控与评估的主要依据。</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（3）教学过程监控。主要通过听课、教学检查、教学督导、学生评教、教师评学、考试等实现监控目的。</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（4）学生信息反馈。建立专门针对工作室制教学反馈的学生信息员制度。</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黑体" w:hAnsi="黑体" w:eastAsia="黑体" w:cs="Times New Roman"/>
          <w:b w:val="0"/>
          <w:bCs/>
          <w:spacing w:val="0"/>
          <w:kern w:val="2"/>
          <w:position w:val="0"/>
          <w:sz w:val="24"/>
          <w:szCs w:val="24"/>
          <w:lang w:val="en-US"/>
        </w:rPr>
      </w:pPr>
      <w:r>
        <w:rPr>
          <w:rFonts w:hint="eastAsia" w:ascii="Times New Roman" w:hAnsi="Times New Roman" w:cs="Times New Roman"/>
          <w:spacing w:val="0"/>
          <w:kern w:val="2"/>
          <w:position w:val="0"/>
          <w:szCs w:val="21"/>
          <w:lang w:val="zh-TW" w:eastAsia="zh-TW"/>
        </w:rPr>
        <w:t>（5）教材质量监控。学院建立教材招标工作组，采用教材三级审核制：教研室申报、教学单位审核、教务处审定。多级监控严把教材意识形态关，保障教材质量。</w:t>
      </w:r>
    </w:p>
    <w:p>
      <w:pPr>
        <w:pStyle w:val="3"/>
        <w:keepNext/>
        <w:keepLines/>
        <w:autoSpaceDE/>
        <w:autoSpaceDN/>
        <w:adjustRightInd/>
        <w:spacing w:before="156" w:beforeLines="50" w:after="156" w:afterLines="50" w:line="300" w:lineRule="auto"/>
        <w:ind w:left="0" w:leftChars="0" w:firstLine="480" w:firstLineChars="200"/>
        <w:jc w:val="both"/>
        <w:rPr>
          <w:rFonts w:hint="eastAsia" w:ascii="黑体" w:hAnsi="黑体" w:eastAsia="黑体" w:cs="Times New Roman"/>
          <w:b w:val="0"/>
          <w:bCs/>
          <w:kern w:val="2"/>
          <w:sz w:val="24"/>
          <w:szCs w:val="24"/>
          <w:lang w:val="en-US" w:eastAsia="zh-CN"/>
        </w:rPr>
      </w:pPr>
      <w:bookmarkStart w:id="10" w:name="_Toc27986"/>
      <w:r>
        <w:rPr>
          <w:rFonts w:hint="eastAsia" w:ascii="黑体" w:hAnsi="黑体" w:eastAsia="黑体" w:cs="Times New Roman"/>
          <w:b w:val="0"/>
          <w:bCs/>
          <w:kern w:val="2"/>
          <w:sz w:val="24"/>
          <w:szCs w:val="24"/>
          <w:lang w:val="en-US" w:eastAsia="zh-CN"/>
        </w:rPr>
        <w:t>九、毕业要求</w:t>
      </w:r>
      <w:bookmarkEnd w:id="10"/>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Times New Roman" w:hAnsi="Times New Roman" w:cs="Times New Roman"/>
          <w:spacing w:val="0"/>
          <w:kern w:val="2"/>
          <w:position w:val="0"/>
          <w:szCs w:val="21"/>
          <w:lang w:val="zh-TW" w:eastAsia="zh-TW"/>
        </w:rPr>
      </w:pPr>
      <w:r>
        <w:rPr>
          <w:rFonts w:hint="eastAsia" w:ascii="Times New Roman" w:hAnsi="Times New Roman" w:cs="Times New Roman"/>
          <w:spacing w:val="0"/>
          <w:kern w:val="2"/>
          <w:position w:val="0"/>
          <w:szCs w:val="21"/>
          <w:lang w:val="zh-TW" w:eastAsia="zh-TW"/>
        </w:rPr>
        <w:t>学生通过规定年限的学习，修满人才培养方案规定的全部学分，并取得与专业相关的职业技能等级证书，准予毕业。</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0" w:beforeAutospacing="0" w:after="0" w:afterAutospacing="0" w:line="300" w:lineRule="auto"/>
        <w:ind w:left="0" w:right="0" w:firstLine="420" w:firstLineChars="200"/>
        <w:rPr>
          <w:rFonts w:hint="eastAsia" w:ascii="仿宋" w:hAnsi="仿宋" w:eastAsia="仿宋" w:cs="仿宋"/>
          <w:b/>
          <w:bCs/>
          <w:color w:val="000000"/>
          <w:spacing w:val="0"/>
          <w:kern w:val="2"/>
          <w:position w:val="0"/>
          <w:szCs w:val="21"/>
          <w:lang w:val="zh-CN" w:eastAsia="zh-TW" w:bidi="zh-TW"/>
        </w:rPr>
      </w:pPr>
      <w:r>
        <w:rPr>
          <w:rFonts w:hint="eastAsia" w:ascii="Times New Roman" w:hAnsi="Times New Roman" w:cs="Times New Roman"/>
          <w:spacing w:val="0"/>
          <w:kern w:val="2"/>
          <w:position w:val="0"/>
          <w:szCs w:val="21"/>
          <w:lang w:val="zh-TW" w:eastAsia="zh-TW"/>
        </w:rPr>
        <w:t>与本专业对接的可供选择的职业技能等级证书见表</w:t>
      </w:r>
      <w:r>
        <w:rPr>
          <w:rFonts w:hint="eastAsia" w:ascii="Times New Roman" w:hAnsi="Times New Roman" w:cs="Times New Roman"/>
          <w:spacing w:val="0"/>
          <w:kern w:val="2"/>
          <w:position w:val="0"/>
          <w:szCs w:val="21"/>
          <w:lang w:val="en-US" w:eastAsia="zh-CN"/>
        </w:rPr>
        <w:t>7</w:t>
      </w:r>
      <w:r>
        <w:rPr>
          <w:rFonts w:hint="eastAsia" w:ascii="Times New Roman" w:hAnsi="Times New Roman" w:cs="Times New Roman"/>
          <w:spacing w:val="0"/>
          <w:kern w:val="2"/>
          <w:position w:val="0"/>
          <w:szCs w:val="21"/>
          <w:lang w:val="zh-TW" w:eastAsia="zh-TW"/>
        </w:rPr>
        <w:t>所示，积极参与专业相关的1+X数字创意建模职业技能等级证书制度试点。</w:t>
      </w:r>
    </w:p>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422" w:firstLineChars="200"/>
        <w:jc w:val="center"/>
        <w:rPr>
          <w:rFonts w:hint="eastAsia" w:ascii="仿宋" w:hAnsi="仿宋" w:eastAsia="仿宋" w:cs="仿宋"/>
          <w:b/>
          <w:bCs/>
          <w:color w:val="000000"/>
          <w:spacing w:val="0"/>
          <w:kern w:val="2"/>
          <w:position w:val="0"/>
          <w:szCs w:val="21"/>
          <w:lang w:val="zh-CN" w:eastAsia="zh-TW" w:bidi="zh-TW"/>
        </w:rPr>
      </w:pPr>
      <w:r>
        <w:rPr>
          <w:rFonts w:hint="eastAsia" w:ascii="仿宋" w:hAnsi="仿宋" w:eastAsia="仿宋" w:cs="仿宋"/>
          <w:b/>
          <w:bCs/>
          <w:color w:val="000000"/>
          <w:spacing w:val="0"/>
          <w:kern w:val="2"/>
          <w:position w:val="0"/>
          <w:szCs w:val="21"/>
          <w:lang w:val="zh-CN" w:eastAsia="zh-TW" w:bidi="zh-TW"/>
        </w:rPr>
        <w:t>表</w:t>
      </w:r>
      <w:r>
        <w:rPr>
          <w:rFonts w:hint="eastAsia" w:ascii="仿宋" w:hAnsi="仿宋" w:eastAsia="仿宋" w:cs="仿宋"/>
          <w:b/>
          <w:bCs/>
          <w:color w:val="000000"/>
          <w:spacing w:val="0"/>
          <w:kern w:val="2"/>
          <w:position w:val="0"/>
          <w:szCs w:val="21"/>
          <w:lang w:val="en-US" w:eastAsia="zh-CN" w:bidi="zh-TW"/>
        </w:rPr>
        <w:t>7</w:t>
      </w:r>
      <w:r>
        <w:rPr>
          <w:rFonts w:hint="eastAsia" w:ascii="仿宋" w:hAnsi="仿宋" w:eastAsia="仿宋" w:cs="仿宋"/>
          <w:b/>
          <w:bCs/>
          <w:color w:val="000000"/>
          <w:spacing w:val="0"/>
          <w:kern w:val="2"/>
          <w:position w:val="0"/>
          <w:szCs w:val="21"/>
          <w:lang w:val="zh-CN" w:eastAsia="zh-TW" w:bidi="zh-TW"/>
        </w:rPr>
        <w:t xml:space="preserve"> 职业技能等级证书一览表</w:t>
      </w:r>
    </w:p>
    <w:tbl>
      <w:tblPr>
        <w:tblStyle w:val="7"/>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3874"/>
        <w:gridCol w:w="2881"/>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宋体" w:hAnsi="宋体" w:cs="Times New Roman"/>
                <w:b/>
                <w:bCs/>
                <w:spacing w:val="0"/>
                <w:kern w:val="2"/>
                <w:position w:val="0"/>
                <w:sz w:val="18"/>
                <w:szCs w:val="18"/>
              </w:rPr>
            </w:pPr>
            <w:r>
              <w:rPr>
                <w:rFonts w:hint="eastAsia" w:ascii="宋体" w:hAnsi="宋体" w:cs="Times New Roman"/>
                <w:b/>
                <w:bCs/>
                <w:spacing w:val="0"/>
                <w:kern w:val="2"/>
                <w:position w:val="0"/>
                <w:sz w:val="18"/>
                <w:szCs w:val="18"/>
              </w:rPr>
              <w:t>序号</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宋体" w:hAnsi="宋体" w:cs="Times New Roman"/>
                <w:b/>
                <w:bCs/>
                <w:spacing w:val="0"/>
                <w:kern w:val="2"/>
                <w:position w:val="0"/>
                <w:sz w:val="18"/>
                <w:szCs w:val="18"/>
              </w:rPr>
            </w:pPr>
            <w:r>
              <w:rPr>
                <w:rFonts w:hint="eastAsia" w:ascii="宋体" w:hAnsi="宋体" w:cs="Times New Roman"/>
                <w:b/>
                <w:bCs/>
                <w:spacing w:val="0"/>
                <w:kern w:val="2"/>
                <w:position w:val="0"/>
                <w:sz w:val="18"/>
                <w:szCs w:val="18"/>
              </w:rPr>
              <w:t>职业技能等级证书名称</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ascii="宋体" w:hAnsi="宋体" w:cs="Times New Roman"/>
                <w:b/>
                <w:bCs/>
                <w:spacing w:val="0"/>
                <w:kern w:val="2"/>
                <w:position w:val="0"/>
                <w:sz w:val="18"/>
                <w:szCs w:val="18"/>
              </w:rPr>
            </w:pPr>
            <w:r>
              <w:rPr>
                <w:rFonts w:hint="eastAsia" w:ascii="宋体" w:hAnsi="宋体" w:cs="Times New Roman"/>
                <w:b/>
                <w:bCs/>
                <w:spacing w:val="0"/>
                <w:kern w:val="2"/>
                <w:position w:val="0"/>
                <w:sz w:val="18"/>
                <w:szCs w:val="18"/>
              </w:rPr>
              <w:t>颁证单位</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jc w:val="center"/>
              <w:rPr>
                <w:rFonts w:hint="eastAsia" w:ascii="宋体" w:hAnsi="宋体" w:cs="Times New Roman"/>
                <w:b/>
                <w:bCs/>
                <w:spacing w:val="0"/>
                <w:kern w:val="2"/>
                <w:position w:val="0"/>
                <w:sz w:val="18"/>
                <w:szCs w:val="18"/>
                <w:lang w:val="en-US" w:eastAsia="zh-CN"/>
              </w:rPr>
            </w:pPr>
            <w:r>
              <w:rPr>
                <w:rFonts w:hint="eastAsia" w:ascii="宋体" w:hAnsi="宋体" w:cs="Times New Roman"/>
                <w:b/>
                <w:bCs/>
                <w:spacing w:val="0"/>
                <w:kern w:val="2"/>
                <w:position w:val="0"/>
                <w:sz w:val="18"/>
                <w:szCs w:val="18"/>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1</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1+X数字创意建模职业技能等级证书</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浙江中科视传科技有限公司</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lang w:val="en-US" w:eastAsia="zh-CN"/>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2</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1+X数字媒体交互设计职业技能等级证书</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浙江中科视传科技有限公司</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lang w:val="en-US" w:eastAsia="zh-CN"/>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lang w:val="en-US" w:eastAsia="zh-CN"/>
              </w:rPr>
              <w:t>3</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平面设计师</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工业和信息化部教育与考试中心</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lang w:val="en-US" w:eastAsia="zh-CN"/>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lang w:val="en-US" w:eastAsia="zh-CN"/>
              </w:rPr>
              <w:t>4</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default"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rPr>
              <w:t>Adobe国际认证系列证书(Adobe Certified Associate/Professional)</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Adobe公司</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lang w:val="en-US" w:eastAsia="zh-CN"/>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default" w:ascii="宋体" w:hAnsi="宋体" w:cs="Times New Roman"/>
                <w:spacing w:val="0"/>
                <w:kern w:val="2"/>
                <w:position w:val="0"/>
                <w:sz w:val="18"/>
                <w:szCs w:val="18"/>
                <w:lang w:val="en-US" w:eastAsia="zh-CN"/>
              </w:rPr>
            </w:pPr>
            <w:r>
              <w:rPr>
                <w:rFonts w:hint="eastAsia" w:ascii="宋体" w:hAnsi="宋体" w:cs="Times New Roman"/>
                <w:spacing w:val="0"/>
                <w:kern w:val="2"/>
                <w:position w:val="0"/>
                <w:sz w:val="18"/>
                <w:szCs w:val="18"/>
                <w:lang w:val="en-US" w:eastAsia="zh-CN"/>
              </w:rPr>
              <w:t>5</w:t>
            </w:r>
          </w:p>
        </w:tc>
        <w:tc>
          <w:tcPr>
            <w:tcW w:w="3874"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ACAA数字艺术系列证书</w:t>
            </w:r>
          </w:p>
        </w:tc>
        <w:tc>
          <w:tcPr>
            <w:tcW w:w="2881"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rPr>
              <w:t>ACAA数字艺术行业认证体系</w:t>
            </w:r>
          </w:p>
        </w:tc>
        <w:tc>
          <w:tcPr>
            <w:tcW w:w="798" w:type="dxa"/>
            <w:noWrap w:val="0"/>
            <w:vAlign w:val="center"/>
          </w:tcPr>
          <w:p>
            <w:pPr>
              <w:pBdr>
                <w:top w:val="none" w:color="auto" w:sz="0" w:space="0"/>
                <w:left w:val="none" w:color="auto" w:sz="0" w:space="0"/>
                <w:bottom w:val="none" w:color="auto" w:sz="0" w:space="0"/>
                <w:right w:val="none" w:color="auto" w:sz="0" w:space="0"/>
                <w:between w:val="none" w:color="auto" w:sz="0" w:space="0"/>
              </w:pBdr>
              <w:shd w:val="clear" w:color="auto" w:fill="auto"/>
              <w:spacing w:before="0" w:beforeAutospacing="0" w:after="160" w:afterAutospacing="0" w:line="276" w:lineRule="auto"/>
              <w:ind w:left="0" w:right="0" w:firstLine="0"/>
              <w:rPr>
                <w:rFonts w:hint="eastAsia" w:ascii="宋体" w:hAnsi="宋体" w:cs="Times New Roman"/>
                <w:spacing w:val="0"/>
                <w:kern w:val="2"/>
                <w:position w:val="0"/>
                <w:sz w:val="18"/>
                <w:szCs w:val="18"/>
              </w:rPr>
            </w:pPr>
            <w:r>
              <w:rPr>
                <w:rFonts w:hint="eastAsia" w:ascii="宋体" w:hAnsi="宋体" w:cs="Times New Roman"/>
                <w:spacing w:val="0"/>
                <w:kern w:val="2"/>
                <w:position w:val="0"/>
                <w:sz w:val="18"/>
                <w:szCs w:val="18"/>
                <w:lang w:val="en-US" w:eastAsia="zh-CN"/>
              </w:rPr>
              <w:t>选考</w:t>
            </w:r>
          </w:p>
        </w:tc>
      </w:tr>
    </w:tbl>
    <w:p>
      <w:pPr>
        <w:spacing w:line="360" w:lineRule="auto"/>
        <w:ind w:firstLine="0"/>
        <w:jc w:val="left"/>
        <w:rPr>
          <w:rFonts w:ascii="仿宋" w:hAnsi="仿宋" w:eastAsia="仿宋"/>
        </w:rPr>
      </w:pPr>
    </w:p>
    <w:p>
      <w:pPr>
        <w:spacing w:line="360" w:lineRule="auto"/>
        <w:ind w:firstLine="0"/>
        <w:jc w:val="left"/>
        <w:rPr>
          <w:rFonts w:ascii="仿宋" w:hAnsi="仿宋" w:eastAsia="仿宋"/>
        </w:rPr>
      </w:pPr>
    </w:p>
    <w:p>
      <w:bookmarkStart w:id="11" w:name="_GoBack"/>
      <w:bookmarkEnd w:id="11"/>
    </w:p>
    <w:sectPr>
      <w:footerReference r:id="rId5" w:type="default"/>
      <w:pgSz w:w="11906" w:h="16838"/>
      <w:pgMar w:top="1440" w:right="1800"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9060101010101"/>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80</w:t>
    </w:r>
    <w:r>
      <w:fldChar w:fldCharType="end"/>
    </w:r>
  </w:p>
  <w:p>
    <w:pPr>
      <w:pStyle w:val="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085D6B"/>
    <w:multiLevelType w:val="singleLevel"/>
    <w:tmpl w:val="C3085D6B"/>
    <w:lvl w:ilvl="0" w:tentative="0">
      <w:start w:val="2"/>
      <w:numFmt w:val="decimal"/>
      <w:suff w:val="space"/>
      <w:lvlText w:val="%1."/>
      <w:lvlJc w:val="left"/>
      <w:pPr>
        <w:ind w:left="945"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1D6B0E99"/>
    <w:rsid w:val="1D6B0E99"/>
    <w:rsid w:val="238A60FD"/>
    <w:rsid w:val="2E2914FD"/>
    <w:rsid w:val="60FD0B6E"/>
    <w:rsid w:val="7C696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0" w:lineRule="atLeast"/>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autoSpaceDE w:val="0"/>
      <w:autoSpaceDN w:val="0"/>
      <w:adjustRightInd w:val="0"/>
      <w:spacing w:line="300" w:lineRule="auto"/>
      <w:jc w:val="left"/>
      <w:outlineLvl w:val="0"/>
    </w:pPr>
    <w:rPr>
      <w:rFonts w:ascii="黑体" w:hAnsi="黑体" w:eastAsia="黑体"/>
      <w:b/>
      <w:bCs/>
      <w:kern w:val="0"/>
      <w:sz w:val="32"/>
      <w:szCs w:val="32"/>
      <w:lang w:val="zh-CN"/>
    </w:rPr>
  </w:style>
  <w:style w:type="paragraph" w:styleId="3">
    <w:name w:val="heading 2"/>
    <w:basedOn w:val="1"/>
    <w:next w:val="1"/>
    <w:qFormat/>
    <w:uiPriority w:val="0"/>
    <w:pPr>
      <w:autoSpaceDE w:val="0"/>
      <w:autoSpaceDN w:val="0"/>
      <w:adjustRightInd w:val="0"/>
      <w:spacing w:line="300" w:lineRule="auto"/>
      <w:ind w:left="-6" w:leftChars="-6" w:hanging="12" w:hangingChars="5"/>
      <w:jc w:val="left"/>
      <w:outlineLvl w:val="1"/>
    </w:pPr>
    <w:rPr>
      <w:rFonts w:ascii="黑体" w:hAnsi="黑体" w:eastAsia="黑体"/>
      <w:kern w:val="0"/>
      <w:sz w:val="24"/>
      <w:szCs w:val="24"/>
      <w:lang w:val="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pPr>
      <w:spacing w:line="300" w:lineRule="auto"/>
      <w:ind w:firstLine="420" w:firstLineChars="200"/>
      <w:jc w:val="left"/>
    </w:pPr>
    <w:rPr>
      <w:rFonts w:ascii="宋体" w:hAnsi="宋体" w:cs="宋体"/>
      <w:szCs w:val="21"/>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Normal (Web)"/>
    <w:basedOn w:val="1"/>
    <w:qFormat/>
    <w:uiPriority w:val="99"/>
    <w:pPr>
      <w:widowControl/>
      <w:spacing w:before="100" w:beforeAutospacing="1" w:after="100" w:afterAutospacing="1" w:line="240" w:lineRule="auto"/>
      <w:jc w:val="left"/>
    </w:pPr>
    <w:rPr>
      <w:rFonts w:ascii="Times" w:hAnsi="Times"/>
      <w:kern w:val="0"/>
      <w:sz w:val="20"/>
      <w:szCs w:val="20"/>
    </w:rPr>
  </w:style>
  <w:style w:type="paragraph" w:customStyle="1" w:styleId="9">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0">
    <w:name w:val="图表"/>
    <w:basedOn w:val="1"/>
    <w:qFormat/>
    <w:uiPriority w:val="0"/>
    <w:pPr>
      <w:spacing w:line="240" w:lineRule="auto"/>
      <w:jc w:val="center"/>
    </w:pPr>
    <w:rPr>
      <w:rFonts w:ascii="仿宋" w:hAnsi="仿宋" w:eastAsia="仿宋"/>
      <w:b/>
      <w:kern w:val="0"/>
      <w:sz w:val="2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8139</Words>
  <Characters>8583</Characters>
  <Lines>0</Lines>
  <Paragraphs>0</Paragraphs>
  <TotalTime>8</TotalTime>
  <ScaleCrop>false</ScaleCrop>
  <LinksUpToDate>false</LinksUpToDate>
  <CharactersWithSpaces>8677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2022-08-02T02:36:00Z</dcterms:created>
  <dc:creator>yiyi</dc:creator>
  <cp:lastModifiedBy>蔡中奇</cp:lastModifiedBy>
  <dcterms:modified xsi:type="dcterms:W3CDTF">2022-12-15T01:40:32Z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40AE2E11324F412CA6A5472D5525C9CB</vt:lpwstr>
  </property>
</Properties>
</file>