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autoSpaceDE w:val="0"/>
        <w:autoSpaceDN w:val="0"/>
        <w:adjustRightInd w:val="0"/>
        <w:spacing w:line="420" w:lineRule="auto"/>
        <w:jc w:val="center"/>
        <w:rPr>
          <w:rFonts w:ascii="黑体" w:hAnsi="黑体"/>
          <w:bCs/>
          <w:kern w:val="44"/>
          <w:szCs w:val="32"/>
        </w:rPr>
      </w:pPr>
      <w:bookmarkStart w:id="0" w:name="_Toc378099420"/>
      <w:bookmarkStart w:id="1" w:name="_Toc378165549"/>
      <w:bookmarkStart w:id="2" w:name="_Toc378166633"/>
      <w:bookmarkStart w:id="3" w:name="_Toc252263283"/>
      <w:bookmarkStart w:id="4" w:name="_Toc252263427"/>
      <w:r>
        <w:rPr>
          <w:rFonts w:hint="eastAsia" w:ascii="黑体" w:hAnsi="黑体"/>
          <w:bCs/>
          <w:kern w:val="44"/>
          <w:szCs w:val="32"/>
        </w:rPr>
        <w:t>信息安全技术应用人才培养方案</w:t>
      </w:r>
    </w:p>
    <w:bookmarkEnd w:id="0"/>
    <w:bookmarkEnd w:id="1"/>
    <w:bookmarkEnd w:id="2"/>
    <w:p>
      <w:pPr>
        <w:pStyle w:val="3"/>
        <w:spacing w:before="156" w:beforeLines="50" w:after="156" w:afterLines="50" w:line="276" w:lineRule="auto"/>
        <w:rPr>
          <w:rFonts w:ascii="黑体" w:hAnsi="黑体"/>
          <w:b w:val="0"/>
          <w:bCs/>
          <w:sz w:val="24"/>
          <w:szCs w:val="24"/>
        </w:rPr>
      </w:pPr>
      <w:bookmarkStart w:id="5" w:name="_Toc378099421"/>
      <w:bookmarkStart w:id="6" w:name="_Toc378166634"/>
      <w:bookmarkStart w:id="7" w:name="_Toc378165550"/>
      <w:bookmarkStart w:id="8" w:name="_Toc377475426"/>
      <w:bookmarkStart w:id="9" w:name="_Toc10469492"/>
      <w:r>
        <w:rPr>
          <w:rFonts w:hint="eastAsia" w:ascii="黑体" w:hAnsi="黑体"/>
          <w:b w:val="0"/>
          <w:bCs/>
          <w:sz w:val="24"/>
          <w:szCs w:val="24"/>
        </w:rPr>
        <w:t>一、专业名称</w:t>
      </w:r>
      <w:bookmarkEnd w:id="5"/>
      <w:bookmarkEnd w:id="6"/>
      <w:bookmarkEnd w:id="7"/>
      <w:bookmarkEnd w:id="8"/>
      <w:r>
        <w:rPr>
          <w:rFonts w:hint="eastAsia" w:ascii="黑体" w:hAnsi="黑体"/>
          <w:b w:val="0"/>
          <w:bCs/>
          <w:sz w:val="24"/>
          <w:szCs w:val="24"/>
        </w:rPr>
        <w:t>及代码</w:t>
      </w:r>
      <w:bookmarkEnd w:id="9"/>
    </w:p>
    <w:p>
      <w:pPr>
        <w:spacing w:after="160" w:line="276" w:lineRule="auto"/>
        <w:ind w:firstLine="420" w:firstLineChars="200"/>
        <w:rPr>
          <w:rFonts w:ascii="Times New Roman" w:hAnsi="Times New Roman" w:eastAsia="宋体" w:cs="Times New Roman"/>
          <w:szCs w:val="21"/>
        </w:rPr>
      </w:pPr>
      <w:r>
        <w:rPr>
          <w:rFonts w:hint="eastAsia"/>
          <w:szCs w:val="21"/>
        </w:rPr>
        <w:t>专业名称：</w:t>
      </w:r>
      <w:r>
        <w:rPr>
          <w:rFonts w:hint="eastAsia" w:ascii="Times New Roman" w:hAnsi="Times New Roman" w:eastAsia="宋体" w:cs="Times New Roman"/>
          <w:szCs w:val="21"/>
        </w:rPr>
        <w:t>信息安全技术应用</w:t>
      </w:r>
    </w:p>
    <w:p>
      <w:pPr>
        <w:spacing w:after="160" w:line="276" w:lineRule="auto"/>
        <w:ind w:firstLine="420" w:firstLineChars="200"/>
        <w:rPr>
          <w:rFonts w:ascii="Times New Roman" w:hAnsi="Times New Roman" w:eastAsia="宋体" w:cs="Times New Roman"/>
          <w:szCs w:val="21"/>
        </w:rPr>
      </w:pPr>
      <w:r>
        <w:rPr>
          <w:rFonts w:hint="eastAsia"/>
          <w:szCs w:val="21"/>
        </w:rPr>
        <w:t>专业代码：</w:t>
      </w:r>
      <w:r>
        <w:rPr>
          <w:rFonts w:hint="eastAsia" w:ascii="Times New Roman" w:hAnsi="Times New Roman" w:eastAsia="宋体" w:cs="Times New Roman"/>
          <w:szCs w:val="21"/>
        </w:rPr>
        <w:t>510207</w:t>
      </w:r>
    </w:p>
    <w:p>
      <w:pPr>
        <w:pStyle w:val="3"/>
        <w:spacing w:before="156" w:beforeLines="50" w:after="156" w:afterLines="50" w:line="276" w:lineRule="auto"/>
        <w:rPr>
          <w:rFonts w:ascii="黑体" w:hAnsi="黑体"/>
          <w:b w:val="0"/>
          <w:bCs/>
          <w:sz w:val="24"/>
          <w:szCs w:val="24"/>
        </w:rPr>
      </w:pPr>
      <w:bookmarkStart w:id="10" w:name="_Toc378165551"/>
      <w:bookmarkStart w:id="11" w:name="_Toc10469493"/>
      <w:bookmarkStart w:id="12" w:name="_Toc377475427"/>
      <w:bookmarkStart w:id="13" w:name="_Toc378099422"/>
      <w:bookmarkStart w:id="14" w:name="_Toc378166635"/>
      <w:r>
        <w:rPr>
          <w:rFonts w:hint="eastAsia" w:ascii="黑体" w:hAnsi="黑体"/>
          <w:b w:val="0"/>
          <w:bCs/>
          <w:sz w:val="24"/>
          <w:szCs w:val="24"/>
        </w:rPr>
        <w:t>二、入学要求</w:t>
      </w:r>
      <w:bookmarkEnd w:id="10"/>
      <w:bookmarkEnd w:id="11"/>
      <w:bookmarkEnd w:id="12"/>
      <w:bookmarkEnd w:id="13"/>
      <w:bookmarkEnd w:id="14"/>
    </w:p>
    <w:p>
      <w:pPr>
        <w:pStyle w:val="10"/>
        <w:spacing w:before="182" w:line="276" w:lineRule="auto"/>
        <w:ind w:left="544"/>
        <w:rPr>
          <w:rFonts w:cs="Arial Unicode MS"/>
          <w:spacing w:val="3"/>
          <w:w w:val="102"/>
          <w:szCs w:val="24"/>
        </w:rPr>
      </w:pPr>
      <w:r>
        <w:rPr>
          <w:rFonts w:hint="eastAsia" w:cs="Arial Unicode MS"/>
          <w:spacing w:val="3"/>
          <w:w w:val="102"/>
          <w:szCs w:val="24"/>
        </w:rPr>
        <w:t>普通高中毕业生、中等职业学校毕业生或具备同等学力人员</w:t>
      </w:r>
    </w:p>
    <w:p>
      <w:pPr>
        <w:pStyle w:val="3"/>
        <w:spacing w:before="156" w:beforeLines="50" w:after="156" w:afterLines="50" w:line="276" w:lineRule="auto"/>
        <w:rPr>
          <w:rFonts w:ascii="黑体" w:hAnsi="黑体"/>
          <w:b w:val="0"/>
          <w:bCs/>
          <w:sz w:val="24"/>
          <w:szCs w:val="24"/>
        </w:rPr>
      </w:pPr>
      <w:bookmarkStart w:id="15" w:name="_Toc378166636"/>
      <w:bookmarkStart w:id="16" w:name="_Toc378099423"/>
      <w:bookmarkStart w:id="17" w:name="_Toc378165552"/>
      <w:bookmarkStart w:id="18" w:name="_Toc377475428"/>
      <w:bookmarkStart w:id="19" w:name="_Toc10469494"/>
      <w:r>
        <w:rPr>
          <w:rFonts w:hint="eastAsia" w:ascii="黑体" w:hAnsi="黑体"/>
          <w:b w:val="0"/>
          <w:bCs/>
          <w:sz w:val="24"/>
          <w:szCs w:val="24"/>
        </w:rPr>
        <w:t>三、</w:t>
      </w:r>
      <w:bookmarkEnd w:id="3"/>
      <w:bookmarkEnd w:id="4"/>
      <w:bookmarkEnd w:id="15"/>
      <w:bookmarkEnd w:id="16"/>
      <w:bookmarkEnd w:id="17"/>
      <w:bookmarkEnd w:id="18"/>
      <w:r>
        <w:rPr>
          <w:rFonts w:hint="eastAsia" w:ascii="黑体" w:hAnsi="黑体"/>
          <w:b w:val="0"/>
          <w:bCs/>
          <w:sz w:val="24"/>
          <w:szCs w:val="24"/>
        </w:rPr>
        <w:t>修业年限</w:t>
      </w:r>
      <w:bookmarkEnd w:id="19"/>
    </w:p>
    <w:p>
      <w:pPr>
        <w:pStyle w:val="10"/>
        <w:spacing w:before="182" w:line="276" w:lineRule="auto"/>
        <w:ind w:left="544"/>
        <w:rPr>
          <w:rFonts w:cs="Arial Unicode MS"/>
          <w:spacing w:val="3"/>
          <w:w w:val="102"/>
          <w:szCs w:val="24"/>
        </w:rPr>
      </w:pPr>
      <w:r>
        <w:rPr>
          <w:rFonts w:hint="eastAsia" w:cs="Arial Unicode MS"/>
          <w:spacing w:val="3"/>
          <w:w w:val="102"/>
          <w:szCs w:val="24"/>
        </w:rPr>
        <w:t>三年，可以根据学生灵活学习需求合理、弹性安排学习时间。</w:t>
      </w:r>
    </w:p>
    <w:p>
      <w:pPr>
        <w:pStyle w:val="3"/>
        <w:spacing w:before="156" w:beforeLines="50" w:after="156" w:afterLines="50" w:line="276" w:lineRule="auto"/>
        <w:rPr>
          <w:rFonts w:ascii="黑体" w:hAnsi="黑体"/>
          <w:b w:val="0"/>
          <w:bCs/>
          <w:sz w:val="24"/>
          <w:szCs w:val="24"/>
        </w:rPr>
      </w:pPr>
      <w:bookmarkStart w:id="20" w:name="_Toc378165553"/>
      <w:bookmarkStart w:id="21" w:name="_Toc377475429"/>
      <w:bookmarkStart w:id="22" w:name="_Toc252263284"/>
      <w:bookmarkStart w:id="23" w:name="_Toc378099424"/>
      <w:bookmarkStart w:id="24" w:name="_Toc378166637"/>
      <w:bookmarkStart w:id="25" w:name="_Toc252263430"/>
      <w:bookmarkStart w:id="26" w:name="_Toc10469495"/>
      <w:r>
        <w:rPr>
          <w:rFonts w:hint="eastAsia" w:ascii="黑体" w:hAnsi="黑体"/>
          <w:b w:val="0"/>
          <w:bCs/>
          <w:sz w:val="24"/>
          <w:szCs w:val="24"/>
        </w:rPr>
        <w:t>四、</w:t>
      </w:r>
      <w:bookmarkEnd w:id="20"/>
      <w:bookmarkEnd w:id="21"/>
      <w:bookmarkEnd w:id="22"/>
      <w:bookmarkEnd w:id="23"/>
      <w:bookmarkEnd w:id="24"/>
      <w:bookmarkEnd w:id="25"/>
      <w:r>
        <w:rPr>
          <w:rFonts w:hint="eastAsia" w:ascii="黑体" w:hAnsi="黑体"/>
          <w:b w:val="0"/>
          <w:bCs/>
          <w:sz w:val="24"/>
          <w:szCs w:val="24"/>
        </w:rPr>
        <w:t>职业面向</w:t>
      </w:r>
      <w:bookmarkEnd w:id="26"/>
    </w:p>
    <w:p>
      <w:pPr>
        <w:pStyle w:val="10"/>
        <w:spacing w:before="182" w:line="276" w:lineRule="auto"/>
        <w:ind w:left="544"/>
        <w:rPr>
          <w:rFonts w:cs="Arial Unicode MS"/>
          <w:spacing w:val="3"/>
          <w:w w:val="102"/>
          <w:szCs w:val="24"/>
        </w:rPr>
      </w:pPr>
      <w:r>
        <w:rPr>
          <w:rFonts w:hint="eastAsia" w:cs="Arial Unicode MS"/>
          <w:spacing w:val="3"/>
          <w:w w:val="102"/>
          <w:szCs w:val="24"/>
        </w:rPr>
        <w:t>信息安全技术应用专业的职业面向见表1所示。</w:t>
      </w:r>
    </w:p>
    <w:p>
      <w:pPr>
        <w:spacing w:after="160" w:line="276" w:lineRule="auto"/>
        <w:jc w:val="center"/>
        <w:rPr>
          <w:rFonts w:ascii="仿宋" w:hAnsi="仿宋" w:eastAsia="仿宋" w:cs="Times New Roman"/>
          <w:b/>
          <w:szCs w:val="21"/>
        </w:rPr>
      </w:pPr>
      <w:r>
        <w:rPr>
          <w:rFonts w:hint="eastAsia" w:ascii="仿宋" w:hAnsi="仿宋" w:eastAsia="仿宋" w:cs="Times New Roman"/>
          <w:b/>
          <w:szCs w:val="21"/>
        </w:rPr>
        <w:t>表1</w:t>
      </w:r>
      <w:r>
        <w:rPr>
          <w:rFonts w:ascii="仿宋" w:hAnsi="仿宋" w:eastAsia="仿宋" w:cs="Times New Roman"/>
          <w:b/>
          <w:szCs w:val="21"/>
        </w:rPr>
        <w:t xml:space="preserve"> </w:t>
      </w:r>
      <w:r>
        <w:rPr>
          <w:rFonts w:hint="eastAsia" w:ascii="仿宋" w:hAnsi="仿宋" w:eastAsia="仿宋" w:cs="Times New Roman"/>
          <w:b/>
          <w:szCs w:val="21"/>
        </w:rPr>
        <w:t>职业面向表</w:t>
      </w:r>
    </w:p>
    <w:tbl>
      <w:tblPr>
        <w:tblStyle w:val="34"/>
        <w:tblpPr w:leftFromText="180" w:rightFromText="180" w:vertAnchor="text" w:horzAnchor="margin" w:tblpXSpec="center" w:tblpY="67"/>
        <w:tblW w:w="946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164"/>
        <w:gridCol w:w="1224"/>
        <w:gridCol w:w="1246"/>
        <w:gridCol w:w="1821"/>
        <w:gridCol w:w="26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1344"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所属专业大类</w:t>
            </w:r>
          </w:p>
        </w:tc>
        <w:tc>
          <w:tcPr>
            <w:tcW w:w="1164"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所属专业类</w:t>
            </w:r>
          </w:p>
        </w:tc>
        <w:tc>
          <w:tcPr>
            <w:tcW w:w="1224"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对应行业</w:t>
            </w:r>
          </w:p>
        </w:tc>
        <w:tc>
          <w:tcPr>
            <w:tcW w:w="1246"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主要职业类别</w:t>
            </w:r>
          </w:p>
        </w:tc>
        <w:tc>
          <w:tcPr>
            <w:tcW w:w="1821"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主要岗位类别（或技术领域）</w:t>
            </w:r>
          </w:p>
        </w:tc>
        <w:tc>
          <w:tcPr>
            <w:tcW w:w="2665" w:type="dxa"/>
            <w:vAlign w:val="center"/>
          </w:tcPr>
          <w:p>
            <w:pPr>
              <w:spacing w:after="160" w:line="276" w:lineRule="auto"/>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38" w:hRule="exact"/>
        </w:trPr>
        <w:tc>
          <w:tcPr>
            <w:tcW w:w="1344"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电子与信息大类51</w:t>
            </w:r>
          </w:p>
        </w:tc>
        <w:tc>
          <w:tcPr>
            <w:tcW w:w="1164"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电子信息类5101</w:t>
            </w:r>
          </w:p>
        </w:tc>
        <w:tc>
          <w:tcPr>
            <w:tcW w:w="1224"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互联网及相关服务64</w:t>
            </w:r>
          </w:p>
          <w:p>
            <w:pPr>
              <w:spacing w:line="276" w:lineRule="auto"/>
              <w:rPr>
                <w:rFonts w:ascii="宋体" w:hAnsi="宋体" w:eastAsia="宋体" w:cs="Times New Roman"/>
                <w:sz w:val="16"/>
                <w:szCs w:val="16"/>
              </w:rPr>
            </w:pPr>
            <w:r>
              <w:rPr>
                <w:rFonts w:hint="eastAsia" w:ascii="宋体" w:hAnsi="宋体" w:eastAsia="宋体" w:cs="Times New Roman"/>
                <w:sz w:val="16"/>
                <w:szCs w:val="16"/>
              </w:rPr>
              <w:t>-互联网安全服务6440</w:t>
            </w:r>
          </w:p>
        </w:tc>
        <w:tc>
          <w:tcPr>
            <w:tcW w:w="1246"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网络与信息安全管理员（4-04-04-02）</w:t>
            </w:r>
          </w:p>
        </w:tc>
        <w:tc>
          <w:tcPr>
            <w:tcW w:w="1821"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网络安全系统集成工程师；</w:t>
            </w:r>
          </w:p>
          <w:p>
            <w:pPr>
              <w:spacing w:line="276" w:lineRule="auto"/>
              <w:rPr>
                <w:rFonts w:ascii="宋体" w:hAnsi="宋体" w:eastAsia="宋体" w:cs="Times New Roman"/>
                <w:sz w:val="16"/>
                <w:szCs w:val="16"/>
              </w:rPr>
            </w:pPr>
            <w:r>
              <w:rPr>
                <w:rFonts w:hint="eastAsia" w:ascii="宋体" w:hAnsi="宋体" w:eastAsia="宋体" w:cs="Times New Roman"/>
                <w:sz w:val="16"/>
                <w:szCs w:val="16"/>
              </w:rPr>
              <w:t>网络安全运维工程师；</w:t>
            </w:r>
          </w:p>
          <w:p>
            <w:pPr>
              <w:spacing w:line="276" w:lineRule="auto"/>
              <w:rPr>
                <w:rFonts w:ascii="宋体" w:hAnsi="宋体" w:eastAsia="宋体" w:cs="Times New Roman"/>
                <w:sz w:val="16"/>
                <w:szCs w:val="16"/>
              </w:rPr>
            </w:pPr>
            <w:r>
              <w:rPr>
                <w:rFonts w:hint="eastAsia" w:ascii="宋体" w:hAnsi="宋体" w:eastAsia="宋体" w:cs="Times New Roman"/>
                <w:sz w:val="16"/>
                <w:szCs w:val="16"/>
              </w:rPr>
              <w:t>W</w:t>
            </w:r>
            <w:r>
              <w:rPr>
                <w:rFonts w:ascii="宋体" w:hAnsi="宋体" w:eastAsia="宋体" w:cs="Times New Roman"/>
                <w:sz w:val="16"/>
                <w:szCs w:val="16"/>
              </w:rPr>
              <w:t>e</w:t>
            </w:r>
            <w:r>
              <w:rPr>
                <w:rFonts w:hint="eastAsia" w:ascii="宋体" w:hAnsi="宋体" w:eastAsia="宋体" w:cs="Times New Roman"/>
                <w:sz w:val="16"/>
                <w:szCs w:val="16"/>
              </w:rPr>
              <w:t>b安全工程师</w:t>
            </w:r>
          </w:p>
          <w:p>
            <w:pPr>
              <w:spacing w:line="276" w:lineRule="auto"/>
              <w:rPr>
                <w:rFonts w:ascii="宋体" w:hAnsi="宋体" w:eastAsia="宋体" w:cs="Times New Roman"/>
                <w:sz w:val="16"/>
                <w:szCs w:val="16"/>
              </w:rPr>
            </w:pPr>
            <w:r>
              <w:rPr>
                <w:rFonts w:hint="eastAsia" w:ascii="宋体" w:hAnsi="宋体" w:eastAsia="宋体" w:cs="Times New Roman"/>
                <w:sz w:val="16"/>
                <w:szCs w:val="16"/>
              </w:rPr>
              <w:t>网络安全应急响应工程师</w:t>
            </w:r>
          </w:p>
        </w:tc>
        <w:tc>
          <w:tcPr>
            <w:tcW w:w="2665" w:type="dxa"/>
            <w:vAlign w:val="center"/>
          </w:tcPr>
          <w:p>
            <w:pPr>
              <w:spacing w:line="276" w:lineRule="auto"/>
              <w:rPr>
                <w:rFonts w:ascii="宋体" w:hAnsi="宋体" w:eastAsia="宋体" w:cs="Times New Roman"/>
                <w:sz w:val="16"/>
                <w:szCs w:val="16"/>
              </w:rPr>
            </w:pPr>
            <w:r>
              <w:rPr>
                <w:rFonts w:hint="eastAsia" w:ascii="宋体" w:hAnsi="宋体" w:eastAsia="宋体" w:cs="Times New Roman"/>
                <w:sz w:val="16"/>
                <w:szCs w:val="16"/>
              </w:rPr>
              <w:t>1</w:t>
            </w:r>
            <w:r>
              <w:rPr>
                <w:rFonts w:ascii="宋体" w:hAnsi="宋体" w:eastAsia="宋体" w:cs="Times New Roman"/>
                <w:sz w:val="16"/>
                <w:szCs w:val="16"/>
              </w:rPr>
              <w:t>+X</w:t>
            </w:r>
            <w:r>
              <w:rPr>
                <w:rFonts w:hint="eastAsia" w:ascii="宋体" w:hAnsi="宋体" w:eastAsia="宋体" w:cs="Times New Roman"/>
                <w:sz w:val="16"/>
                <w:szCs w:val="16"/>
              </w:rPr>
              <w:t>证书-网络安全应急响应</w:t>
            </w:r>
          </w:p>
          <w:p>
            <w:pPr>
              <w:spacing w:line="276" w:lineRule="auto"/>
              <w:rPr>
                <w:rFonts w:ascii="宋体" w:hAnsi="宋体" w:eastAsia="宋体" w:cs="Times New Roman"/>
                <w:sz w:val="16"/>
                <w:szCs w:val="16"/>
              </w:rPr>
            </w:pPr>
            <w:r>
              <w:rPr>
                <w:rFonts w:hint="eastAsia" w:ascii="宋体" w:hAnsi="宋体" w:eastAsia="宋体" w:cs="Times New Roman"/>
                <w:sz w:val="16"/>
                <w:szCs w:val="16"/>
              </w:rPr>
              <w:t>华为HC</w:t>
            </w:r>
            <w:r>
              <w:rPr>
                <w:rFonts w:ascii="宋体" w:hAnsi="宋体" w:eastAsia="宋体" w:cs="Times New Roman"/>
                <w:sz w:val="16"/>
                <w:szCs w:val="16"/>
              </w:rPr>
              <w:t>I</w:t>
            </w:r>
            <w:r>
              <w:rPr>
                <w:rFonts w:hint="eastAsia" w:ascii="宋体" w:hAnsi="宋体" w:eastAsia="宋体" w:cs="Times New Roman"/>
                <w:sz w:val="16"/>
                <w:szCs w:val="16"/>
              </w:rPr>
              <w:t>A-安全</w:t>
            </w:r>
          </w:p>
          <w:p>
            <w:pPr>
              <w:spacing w:line="276" w:lineRule="auto"/>
              <w:rPr>
                <w:rFonts w:ascii="宋体" w:hAnsi="宋体" w:eastAsia="宋体" w:cs="Times New Roman"/>
                <w:sz w:val="16"/>
                <w:szCs w:val="16"/>
              </w:rPr>
            </w:pPr>
            <w:r>
              <w:rPr>
                <w:rFonts w:hint="eastAsia" w:ascii="宋体" w:hAnsi="宋体" w:eastAsia="宋体" w:cs="Times New Roman"/>
                <w:sz w:val="16"/>
                <w:szCs w:val="16"/>
              </w:rPr>
              <w:t>红帽认证工程师（RHCE）</w:t>
            </w:r>
          </w:p>
          <w:p>
            <w:pPr>
              <w:spacing w:line="276" w:lineRule="auto"/>
              <w:rPr>
                <w:rFonts w:ascii="宋体" w:hAnsi="宋体" w:eastAsia="宋体" w:cs="Times New Roman"/>
                <w:sz w:val="16"/>
                <w:szCs w:val="16"/>
              </w:rPr>
            </w:pPr>
            <w:r>
              <w:rPr>
                <w:rFonts w:hint="eastAsia" w:ascii="宋体" w:hAnsi="宋体" w:eastAsia="宋体" w:cs="Times New Roman"/>
                <w:sz w:val="16"/>
                <w:szCs w:val="16"/>
              </w:rPr>
              <w:t>CISP-PTE渗透测试工程师</w:t>
            </w:r>
          </w:p>
        </w:tc>
      </w:tr>
    </w:tbl>
    <w:p>
      <w:pPr>
        <w:pStyle w:val="3"/>
        <w:spacing w:before="156" w:beforeLines="50" w:after="156" w:afterLines="50" w:line="276" w:lineRule="auto"/>
        <w:rPr>
          <w:rFonts w:ascii="黑体" w:hAnsi="黑体"/>
          <w:b w:val="0"/>
          <w:bCs/>
          <w:sz w:val="24"/>
          <w:szCs w:val="24"/>
        </w:rPr>
      </w:pPr>
      <w:bookmarkStart w:id="27" w:name="_Toc10469496"/>
      <w:r>
        <w:rPr>
          <w:rFonts w:hint="eastAsia" w:ascii="黑体" w:hAnsi="黑体"/>
          <w:b w:val="0"/>
          <w:bCs/>
          <w:sz w:val="24"/>
          <w:szCs w:val="24"/>
        </w:rPr>
        <w:t>五、培养目标与培养规格</w:t>
      </w:r>
      <w:bookmarkEnd w:id="27"/>
    </w:p>
    <w:p>
      <w:pPr>
        <w:spacing w:after="160" w:line="276" w:lineRule="auto"/>
        <w:rPr>
          <w:rFonts w:ascii="Times New Roman" w:hAnsi="Times New Roman" w:eastAsia="宋体" w:cs="Times New Roman"/>
          <w:sz w:val="24"/>
          <w:szCs w:val="24"/>
        </w:rPr>
      </w:pPr>
      <w:bookmarkStart w:id="28" w:name="_Toc10469497"/>
      <w:r>
        <w:rPr>
          <w:rFonts w:hint="eastAsia" w:ascii="Times New Roman" w:hAnsi="Times New Roman" w:eastAsia="宋体" w:cs="Times New Roman"/>
          <w:sz w:val="24"/>
          <w:szCs w:val="24"/>
        </w:rPr>
        <w:t>（一）培养目标</w:t>
      </w:r>
      <w:bookmarkEnd w:id="28"/>
    </w:p>
    <w:p>
      <w:pPr>
        <w:spacing w:after="160" w:line="276" w:lineRule="auto"/>
        <w:ind w:firstLine="420" w:firstLineChars="200"/>
        <w:rPr>
          <w:rFonts w:ascii="Times New Roman" w:hAnsi="Times New Roman" w:eastAsia="宋体" w:cs="Times New Roman"/>
          <w:szCs w:val="21"/>
        </w:rPr>
      </w:pPr>
      <w:bookmarkStart w:id="29" w:name="_Toc252263431"/>
      <w:bookmarkStart w:id="30" w:name="_Toc252263285"/>
      <w:r>
        <w:rPr>
          <w:rFonts w:hint="eastAsia" w:ascii="Times New Roman" w:hAnsi="Times New Roman" w:eastAsia="宋体" w:cs="Times New Roman"/>
          <w:szCs w:val="21"/>
        </w:rPr>
        <w:t>本专业培养理想信念坚定，德、智、体、美、劳全面发展，具有一定的科学文化水平，具有良好的人文素养、职业道德和创新意识，精益求精的工匠精神，较强的就业能力和可持续发展能力，掌握本专业知识和技术技能，面向互联网和相关服务、软件和信息服务业的计算机网络工程技术人员，能够从事信息安全系统集成、网络安全运维、Web安全管理与评估、网络安全应急响应等工作的高素质技术技能人才。</w:t>
      </w:r>
    </w:p>
    <w:p>
      <w:pPr>
        <w:spacing w:after="160" w:line="276" w:lineRule="auto"/>
        <w:rPr>
          <w:rFonts w:ascii="Times New Roman" w:hAnsi="Times New Roman" w:eastAsia="宋体" w:cs="Times New Roman"/>
          <w:sz w:val="24"/>
          <w:szCs w:val="24"/>
        </w:rPr>
      </w:pPr>
      <w:bookmarkStart w:id="31" w:name="_Toc10469498"/>
      <w:r>
        <w:rPr>
          <w:rFonts w:hint="eastAsia" w:ascii="Times New Roman" w:hAnsi="Times New Roman" w:eastAsia="宋体" w:cs="Times New Roman"/>
          <w:sz w:val="24"/>
          <w:szCs w:val="24"/>
        </w:rPr>
        <w:t>（二）培养规格</w:t>
      </w:r>
      <w:bookmarkEnd w:id="31"/>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 xml:space="preserve">. </w:t>
      </w:r>
      <w:r>
        <w:rPr>
          <w:rFonts w:hint="eastAsia" w:ascii="Times New Roman" w:hAnsi="Times New Roman" w:eastAsia="宋体" w:cs="Times New Roman"/>
          <w:szCs w:val="21"/>
        </w:rPr>
        <w:t>素质</w:t>
      </w:r>
    </w:p>
    <w:p>
      <w:pPr>
        <w:spacing w:after="160" w:line="276" w:lineRule="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思想政治素质：</w:t>
      </w:r>
      <w:r>
        <w:rPr>
          <w:rFonts w:ascii="Times New Roman" w:hAnsi="Times New Roman" w:eastAsia="宋体" w:cs="Times New Roman"/>
          <w:szCs w:val="21"/>
        </w:rPr>
        <w:t>坚定拥护中国共产党领导和我国社会主义制度，在习近平新时代中国特色社 会主义思想指引下，践行社会主义核心价值观，具有深厚的爱国情感和中华民族自豪感。</w:t>
      </w:r>
      <w:r>
        <w:rPr>
          <w:rFonts w:hint="eastAsia" w:ascii="Times New Roman" w:hAnsi="Times New Roman" w:eastAsia="宋体" w:cs="Times New Roman"/>
          <w:szCs w:val="21"/>
        </w:rPr>
        <w:t>热爱社会主义祖国，具有正确的世界观、人生观、价值观；</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身心素质：掌握常规体育运动项目的基础知识和基本技能，掌握有关身体健康的知识和健身方法，体能测试基本合格，提高大学生心理健康水平，增强自我调适的能力；使学生能正确认识自我，热爱生命，善待他人，增强调控自我、承受挫折、适应环境的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(3)文化素质：提升大学生的人文素养和文化底蕴，培养沟通交流、阅读理解、应用写作、文学鉴赏，促进学生的专业学习和综合素质提升；</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(4)职业素质：树立正确的职业价值观、良好的职业精神、遵守职业法规、坚守职业理想；</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(5)基本通用能力：提升通用基础能力，包括自我学习管理能力、数字运用能力、信息处理能力和中文外语能力；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(6)关键社会能力：促进有效参与社会实践、提升社会担当意识，包括交流沟通、团队合作、社会责任和社会认知能力；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(7)创新创业能力：培养良好的创新精神、创造性思维，促进参与创业实践，提升复合型能力和综合素质。</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w:t>
      </w:r>
      <w:r>
        <w:rPr>
          <w:rFonts w:hint="eastAsia" w:ascii="Times New Roman" w:hAnsi="Times New Roman" w:eastAsia="宋体" w:cs="Times New Roman"/>
          <w:szCs w:val="21"/>
        </w:rPr>
        <w:t>知识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(1)掌握必备</w:t>
      </w:r>
      <w:r>
        <w:rPr>
          <w:rFonts w:ascii="Times New Roman" w:hAnsi="Times New Roman" w:eastAsia="宋体" w:cs="Times New Roman"/>
          <w:szCs w:val="21"/>
        </w:rPr>
        <w:t>的思想政治理论、科学文化基础知识和中华优秀传统文化知识</w:t>
      </w:r>
      <w:r>
        <w:rPr>
          <w:rFonts w:hint="eastAsia" w:ascii="Times New Roman" w:hAnsi="Times New Roman" w:eastAsia="宋体" w:cs="Times New Roman"/>
          <w:szCs w:val="21"/>
        </w:rPr>
        <w:t>；</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(2)达到英语应用能力A 级水平、计算机应用达到计算机等级考试一级水平；</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(3)熟悉信息安全相关法律法规和标准；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(4)掌握计算机系统、信息系统架构、网络拓扑、信息安全理论与安全技术、网络协议的基础知识；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(5)掌握Windows和Linux操作系统方面的知识；掌握数据库方面知识；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(6)掌握DNS、DHCP和WEB服务器等常用服务器方面的知识；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(7)掌握交换机、路由器、防火墙的常用网络设备方面的知识；</w:t>
      </w:r>
    </w:p>
    <w:p>
      <w:pPr>
        <w:spacing w:after="160" w:line="276" w:lineRule="auto"/>
        <w:rPr>
          <w:rFonts w:ascii="Times New Roman" w:hAnsi="Times New Roman" w:eastAsia="宋体" w:cs="Times New Roman"/>
          <w:szCs w:val="21"/>
        </w:rPr>
      </w:pPr>
      <w:r>
        <w:rPr>
          <w:rFonts w:ascii="Times New Roman" w:hAnsi="Times New Roman" w:eastAsia="宋体" w:cs="Times New Roman"/>
          <w:szCs w:val="21"/>
        </w:rPr>
        <w:t>(8)网络</w:t>
      </w:r>
      <w:r>
        <w:rPr>
          <w:rFonts w:hint="eastAsia" w:ascii="Times New Roman" w:hAnsi="Times New Roman" w:eastAsia="宋体" w:cs="Times New Roman"/>
          <w:szCs w:val="21"/>
        </w:rPr>
        <w:t>安全设备的配置管理等方面的知识；</w:t>
      </w:r>
    </w:p>
    <w:p>
      <w:pPr>
        <w:spacing w:after="160" w:line="276" w:lineRule="auto"/>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掌握系统安全架构、信息系统日常检测与维护、网络系统集成、信息系统安全管理知识；</w:t>
      </w:r>
    </w:p>
    <w:p>
      <w:pPr>
        <w:spacing w:after="160" w:line="276" w:lineRule="auto"/>
        <w:rPr>
          <w:rFonts w:ascii="Times New Roman" w:hAnsi="Times New Roman" w:eastAsia="宋体" w:cs="Times New Roman"/>
          <w:szCs w:val="21"/>
        </w:rPr>
      </w:pPr>
      <w:r>
        <w:rPr>
          <w:rFonts w:ascii="Times New Roman" w:hAnsi="Times New Roman" w:eastAsia="宋体" w:cs="Times New Roman"/>
          <w:szCs w:val="21"/>
        </w:rPr>
        <w:t>(10)</w:t>
      </w:r>
      <w:r>
        <w:rPr>
          <w:rFonts w:hint="eastAsia" w:ascii="Times New Roman" w:hAnsi="Times New Roman" w:eastAsia="宋体" w:cs="Times New Roman"/>
          <w:szCs w:val="21"/>
        </w:rPr>
        <w:t>初步掌握信息系统安全测评、渗透测试、应用服务安全加固等方面的知识；</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(11)初步</w:t>
      </w:r>
      <w:r>
        <w:rPr>
          <w:rFonts w:ascii="Times New Roman" w:hAnsi="Times New Roman" w:eastAsia="宋体" w:cs="Times New Roman"/>
          <w:szCs w:val="21"/>
        </w:rPr>
        <w:t>掌握安全事件分类、应急响应级别、启动、预案、处理等规范</w:t>
      </w:r>
      <w:r>
        <w:rPr>
          <w:rFonts w:hint="eastAsia" w:ascii="Times New Roman" w:hAnsi="Times New Roman" w:eastAsia="宋体" w:cs="Times New Roman"/>
          <w:szCs w:val="21"/>
        </w:rPr>
        <w:t>；</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2</w:t>
      </w:r>
      <w:r>
        <w:rPr>
          <w:rFonts w:hint="eastAsia" w:ascii="Times New Roman" w:hAnsi="Times New Roman" w:eastAsia="宋体" w:cs="Times New Roman"/>
          <w:szCs w:val="21"/>
        </w:rPr>
        <w:t>)熟悉信息安全管理体系、风险管理方法；</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3</w:t>
      </w:r>
      <w:r>
        <w:rPr>
          <w:rFonts w:hint="eastAsia" w:ascii="Times New Roman" w:hAnsi="Times New Roman" w:eastAsia="宋体" w:cs="Times New Roman"/>
          <w:szCs w:val="21"/>
        </w:rPr>
        <w:t>)了解常用WEB开发语言，中间件框架，JavaScript框架；</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4</w:t>
      </w:r>
      <w:r>
        <w:rPr>
          <w:rFonts w:hint="eastAsia" w:ascii="Times New Roman" w:hAnsi="Times New Roman" w:eastAsia="宋体" w:cs="Times New Roman"/>
          <w:szCs w:val="21"/>
        </w:rPr>
        <w:t>)了解应用开发的基本流程及关键点。</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 xml:space="preserve">. </w:t>
      </w:r>
      <w:r>
        <w:rPr>
          <w:rFonts w:hint="eastAsia" w:ascii="Times New Roman" w:hAnsi="Times New Roman" w:eastAsia="宋体" w:cs="Times New Roman"/>
          <w:szCs w:val="21"/>
        </w:rPr>
        <w:t>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(1)具有设计、组建、维护与安全管理中小型企业网络能力；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(2)具有对网络操作系统、服务器搭建、网络管理软件或工具的使用能力；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(3)具有对网络设备如路由器、交换机、无线设备安装、配置、调试、维护的基本能力，对网络设备安全特性的配置与调试能力；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(4)具有对网络安全设备如防火墙、VPN、入侵检测等硬件设备配置、调试、维护的基本能力；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(5)初步具有应用服务安全检测、评估和安全服务加固能力；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(6)具有信息系统集成、安全管理与维护能力；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(7)能撰写工程文件和渗透测试评估工作报告，会查阅技术文献；</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(8)具有至少一种脚本语言（如python、perl、bash）开发能力；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(9)具有至少一种开源的渗透测试工具的使用能力；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(10)具有网络数据分析能力；</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具备</w:t>
      </w:r>
      <w:r>
        <w:rPr>
          <w:rFonts w:hint="eastAsia" w:ascii="Times New Roman" w:hAnsi="Times New Roman" w:eastAsia="宋体" w:cs="Times New Roman"/>
          <w:szCs w:val="21"/>
        </w:rPr>
        <w:t>一定的</w:t>
      </w:r>
      <w:r>
        <w:rPr>
          <w:rFonts w:ascii="Times New Roman" w:hAnsi="Times New Roman" w:eastAsia="宋体" w:cs="Times New Roman"/>
          <w:szCs w:val="21"/>
        </w:rPr>
        <w:t>针对安全事件，编制响应预案，并当事件发生时及时应急响应的能力</w:t>
      </w:r>
      <w:r>
        <w:rPr>
          <w:rFonts w:hint="eastAsia" w:ascii="Times New Roman" w:hAnsi="Times New Roman" w:eastAsia="宋体" w:cs="Times New Roman"/>
          <w:szCs w:val="21"/>
        </w:rPr>
        <w:t>；</w:t>
      </w:r>
    </w:p>
    <w:p>
      <w:pPr>
        <w:spacing w:after="160" w:line="276"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2</w:t>
      </w:r>
      <w:r>
        <w:rPr>
          <w:rFonts w:hint="eastAsia" w:ascii="Times New Roman" w:hAnsi="Times New Roman" w:eastAsia="宋体" w:cs="Times New Roman"/>
          <w:szCs w:val="21"/>
        </w:rPr>
        <w:t>)具有初步创业与学习、创新、岗位迁移能力。</w:t>
      </w:r>
    </w:p>
    <w:bookmarkEnd w:id="29"/>
    <w:bookmarkEnd w:id="30"/>
    <w:p>
      <w:pPr>
        <w:pStyle w:val="3"/>
        <w:spacing w:before="156" w:beforeLines="50" w:after="156" w:afterLines="50" w:line="276" w:lineRule="auto"/>
        <w:rPr>
          <w:rFonts w:ascii="黑体" w:hAnsi="黑体"/>
          <w:b w:val="0"/>
          <w:bCs/>
          <w:sz w:val="24"/>
          <w:szCs w:val="24"/>
        </w:rPr>
      </w:pPr>
      <w:bookmarkStart w:id="32" w:name="_Toc378099428"/>
      <w:bookmarkStart w:id="33" w:name="_Toc378166641"/>
      <w:bookmarkStart w:id="34" w:name="_Toc378165563"/>
      <w:bookmarkStart w:id="35" w:name="_Toc377475438"/>
      <w:bookmarkStart w:id="36" w:name="_Toc10469499"/>
      <w:bookmarkStart w:id="37" w:name="_Toc252263439"/>
      <w:r>
        <w:rPr>
          <w:rFonts w:hint="eastAsia" w:ascii="黑体" w:hAnsi="黑体"/>
          <w:b w:val="0"/>
          <w:bCs/>
          <w:sz w:val="24"/>
          <w:szCs w:val="24"/>
        </w:rPr>
        <w:t>六、课程</w:t>
      </w:r>
      <w:bookmarkEnd w:id="32"/>
      <w:bookmarkEnd w:id="33"/>
      <w:bookmarkEnd w:id="34"/>
      <w:bookmarkEnd w:id="35"/>
      <w:r>
        <w:rPr>
          <w:rFonts w:hint="eastAsia" w:ascii="黑体" w:hAnsi="黑体"/>
          <w:b w:val="0"/>
          <w:bCs/>
          <w:sz w:val="24"/>
          <w:szCs w:val="24"/>
        </w:rPr>
        <w:t>设置</w:t>
      </w:r>
      <w:bookmarkEnd w:id="36"/>
    </w:p>
    <w:p>
      <w:pPr>
        <w:spacing w:after="160" w:line="276" w:lineRule="auto"/>
        <w:rPr>
          <w:rFonts w:ascii="Times New Roman" w:hAnsi="Times New Roman" w:eastAsia="宋体" w:cs="Times New Roman"/>
          <w:sz w:val="24"/>
          <w:szCs w:val="24"/>
        </w:rPr>
      </w:pPr>
      <w:bookmarkStart w:id="38" w:name="_Toc10469500"/>
      <w:bookmarkStart w:id="39" w:name="_Hlk10467569"/>
      <w:r>
        <w:rPr>
          <w:rFonts w:hint="eastAsia" w:ascii="Times New Roman" w:hAnsi="Times New Roman" w:eastAsia="宋体" w:cs="Times New Roman"/>
          <w:sz w:val="24"/>
          <w:szCs w:val="24"/>
        </w:rPr>
        <w:t>（一）公共基础课程</w:t>
      </w:r>
      <w:bookmarkEnd w:id="38"/>
    </w:p>
    <w:bookmarkEnd w:id="39"/>
    <w:p>
      <w:pPr>
        <w:spacing w:after="160" w:line="276" w:lineRule="auto"/>
        <w:ind w:firstLine="420" w:firstLineChars="200"/>
        <w:rPr>
          <w:rFonts w:ascii="Times New Roman" w:hAnsi="Times New Roman" w:eastAsia="宋体" w:cs="Times New Roman"/>
          <w:szCs w:val="21"/>
        </w:rPr>
      </w:pPr>
      <w:bookmarkStart w:id="40" w:name="_Toc10469501"/>
      <w:r>
        <w:rPr>
          <w:rFonts w:hint="eastAsia" w:ascii="Times New Roman" w:hAnsi="Times New Roman" w:eastAsia="宋体" w:cs="Times New Roman"/>
          <w:szCs w:val="21"/>
        </w:rPr>
        <w:t>公共基础课程有思想道德修养与法律基础、毛泽东思想和中国特色社会主义理论体系概论、大学语文、应用数学、实用英语、体育、计算机应用基础、军事理论与训练、职业生涯规划与职业指导、形势与政策、心理健康教育、创业意识与创业技巧、大学生安全教育、劳动教育以及公共选修课等。</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（二）专业课程</w:t>
      </w:r>
      <w:bookmarkEnd w:id="40"/>
    </w:p>
    <w:p>
      <w:pPr>
        <w:spacing w:after="160" w:line="276" w:lineRule="auto"/>
        <w:ind w:firstLine="420" w:firstLineChars="200"/>
        <w:rPr>
          <w:rFonts w:ascii="Times New Roman" w:hAnsi="Times New Roman" w:eastAsia="宋体" w:cs="Times New Roman"/>
          <w:color w:val="FF0000"/>
          <w:szCs w:val="21"/>
        </w:rPr>
      </w:pPr>
      <w:r>
        <w:rPr>
          <w:rFonts w:hint="eastAsia" w:ascii="Times New Roman" w:hAnsi="Times New Roman" w:eastAsia="宋体" w:cs="Times New Roman"/>
          <w:szCs w:val="21"/>
        </w:rPr>
        <w:t>本专业的专业课程共2</w:t>
      </w:r>
      <w:r>
        <w:rPr>
          <w:rFonts w:ascii="Times New Roman" w:hAnsi="Times New Roman" w:eastAsia="宋体" w:cs="Times New Roman"/>
          <w:szCs w:val="21"/>
        </w:rPr>
        <w:t>5</w:t>
      </w:r>
      <w:r>
        <w:rPr>
          <w:rFonts w:hint="eastAsia" w:ascii="Times New Roman" w:hAnsi="Times New Roman" w:eastAsia="宋体" w:cs="Times New Roman"/>
          <w:szCs w:val="21"/>
        </w:rPr>
        <w:t>门，分为专业必修课18门和专业选修课</w:t>
      </w:r>
      <w:r>
        <w:rPr>
          <w:rFonts w:ascii="Times New Roman" w:hAnsi="Times New Roman" w:eastAsia="宋体" w:cs="Times New Roman"/>
          <w:szCs w:val="21"/>
        </w:rPr>
        <w:t>7</w:t>
      </w:r>
      <w:r>
        <w:rPr>
          <w:rFonts w:hint="eastAsia" w:ascii="Times New Roman" w:hAnsi="Times New Roman" w:eastAsia="宋体" w:cs="Times New Roman"/>
          <w:szCs w:val="21"/>
        </w:rPr>
        <w:t>门。</w:t>
      </w:r>
    </w:p>
    <w:p>
      <w:pPr>
        <w:pStyle w:val="75"/>
        <w:numPr>
          <w:ilvl w:val="0"/>
          <w:numId w:val="1"/>
        </w:numPr>
        <w:spacing w:after="160" w:line="276" w:lineRule="auto"/>
        <w:ind w:firstLineChars="0"/>
        <w:rPr>
          <w:rFonts w:ascii="Times New Roman" w:hAnsi="Times New Roman"/>
          <w:szCs w:val="21"/>
        </w:rPr>
      </w:pPr>
      <w:r>
        <w:rPr>
          <w:rFonts w:hint="eastAsia" w:ascii="Times New Roman" w:hAnsi="Times New Roman"/>
          <w:szCs w:val="21"/>
        </w:rPr>
        <w:t>专业必修课程</w:t>
      </w:r>
    </w:p>
    <w:p>
      <w:pPr>
        <w:spacing w:after="160" w:line="276" w:lineRule="auto"/>
        <w:ind w:firstLine="420" w:firstLineChars="200"/>
        <w:rPr>
          <w:rFonts w:ascii="Times New Roman" w:hAnsi="Times New Roman"/>
          <w:szCs w:val="21"/>
        </w:rPr>
      </w:pPr>
      <w:r>
        <w:rPr>
          <w:szCs w:val="21"/>
        </w:rPr>
        <w:t>专业</w:t>
      </w:r>
      <w:r>
        <w:rPr>
          <w:rFonts w:hint="eastAsia" w:ascii="Times New Roman" w:hAnsi="Times New Roman" w:eastAsia="宋体" w:cs="Times New Roman"/>
          <w:szCs w:val="21"/>
        </w:rPr>
        <w:t>必修</w:t>
      </w:r>
      <w:r>
        <w:rPr>
          <w:szCs w:val="21"/>
        </w:rPr>
        <w:t>课程设置18门</w:t>
      </w:r>
      <w:r>
        <w:rPr>
          <w:rFonts w:hint="eastAsia"/>
          <w:szCs w:val="21"/>
        </w:rPr>
        <w:t>，</w:t>
      </w:r>
      <w:r>
        <w:rPr>
          <w:rFonts w:hint="eastAsia" w:ascii="Times New Roman" w:hAnsi="Times New Roman"/>
          <w:szCs w:val="21"/>
        </w:rPr>
        <w:t>包括：信息安全基础、计算机网络技术、Windows系统管理与应用、Python程序设计、Python安全工具</w:t>
      </w:r>
      <w:r>
        <w:rPr>
          <w:rFonts w:ascii="Times New Roman" w:hAnsi="Times New Roman"/>
          <w:szCs w:val="21"/>
        </w:rPr>
        <w:t>开发</w:t>
      </w:r>
      <w:r>
        <w:rPr>
          <w:rFonts w:hint="eastAsia" w:ascii="Times New Roman" w:hAnsi="Times New Roman"/>
          <w:szCs w:val="21"/>
        </w:rPr>
        <w:t>、防火墙与VPN技术、网络设备安全配置、Linux服务与安全管理、WEB应用安全、Windows系统安全实训、Linux服务安全管理实训、渗透测试、WEB应用开发、网络安全应急响应、网络攻防项目实战、网络安全应急响应项目实战、认识实习、岗位实习1、岗位实习2。</w:t>
      </w:r>
    </w:p>
    <w:p>
      <w:pPr>
        <w:pStyle w:val="75"/>
        <w:numPr>
          <w:ilvl w:val="0"/>
          <w:numId w:val="1"/>
        </w:numPr>
        <w:spacing w:after="160" w:line="276" w:lineRule="auto"/>
        <w:ind w:firstLineChars="0"/>
        <w:rPr>
          <w:rFonts w:ascii="Times New Roman" w:hAnsi="Times New Roman"/>
          <w:szCs w:val="21"/>
        </w:rPr>
      </w:pPr>
      <w:r>
        <w:rPr>
          <w:rFonts w:hint="eastAsia" w:ascii="Times New Roman" w:hAnsi="Times New Roman"/>
          <w:szCs w:val="21"/>
        </w:rPr>
        <w:t>专业选课程</w:t>
      </w:r>
    </w:p>
    <w:p>
      <w:pPr>
        <w:spacing w:after="160" w:line="276" w:lineRule="auto"/>
        <w:ind w:firstLine="420" w:firstLineChars="200"/>
        <w:rPr>
          <w:rFonts w:ascii="Times New Roman" w:hAnsi="Times New Roman"/>
          <w:szCs w:val="21"/>
        </w:rPr>
      </w:pPr>
      <w:r>
        <w:rPr>
          <w:szCs w:val="21"/>
        </w:rPr>
        <w:t>专业</w:t>
      </w:r>
      <w:r>
        <w:rPr>
          <w:rFonts w:hint="eastAsia" w:ascii="Times New Roman" w:hAnsi="Times New Roman" w:eastAsia="宋体" w:cs="Times New Roman"/>
          <w:szCs w:val="21"/>
        </w:rPr>
        <w:t>选修</w:t>
      </w:r>
      <w:r>
        <w:rPr>
          <w:szCs w:val="21"/>
        </w:rPr>
        <w:t>课程设置7门</w:t>
      </w:r>
      <w:r>
        <w:rPr>
          <w:rFonts w:hint="eastAsia"/>
          <w:szCs w:val="21"/>
        </w:rPr>
        <w:t>，</w:t>
      </w:r>
      <w:r>
        <w:rPr>
          <w:rFonts w:hint="eastAsia" w:ascii="Times New Roman" w:hAnsi="Times New Roman"/>
          <w:szCs w:val="21"/>
        </w:rPr>
        <w:t>包括：安全运维技术、数据库安全管理、信息安全管理、云安全技术与应用，创业创新教育、Python网络</w:t>
      </w:r>
      <w:r>
        <w:rPr>
          <w:rFonts w:ascii="Times New Roman" w:hAnsi="Times New Roman"/>
          <w:szCs w:val="21"/>
        </w:rPr>
        <w:t>编程</w:t>
      </w:r>
      <w:r>
        <w:rPr>
          <w:rFonts w:hint="eastAsia" w:ascii="Times New Roman" w:hAnsi="Times New Roman"/>
          <w:szCs w:val="21"/>
        </w:rPr>
        <w:t>、信息安全标准与法规。</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（三）专业核心课程内容与要求</w:t>
      </w:r>
    </w:p>
    <w:p>
      <w:pPr>
        <w:pStyle w:val="98"/>
        <w:spacing w:after="160" w:line="276" w:lineRule="auto"/>
        <w:ind w:firstLine="420"/>
        <w:jc w:val="center"/>
        <w:rPr>
          <w:szCs w:val="21"/>
        </w:rPr>
      </w:pPr>
      <w:r>
        <w:rPr>
          <w:rFonts w:hint="eastAsia"/>
          <w:szCs w:val="21"/>
        </w:rPr>
        <w:t>表2</w:t>
      </w:r>
      <w:r>
        <w:rPr>
          <w:szCs w:val="21"/>
        </w:rPr>
        <w:t xml:space="preserve"> </w:t>
      </w:r>
      <w:r>
        <w:rPr>
          <w:rFonts w:hint="eastAsia"/>
          <w:szCs w:val="21"/>
        </w:rPr>
        <w:t>信息安全应用技术核心课程内容与要求</w:t>
      </w:r>
    </w:p>
    <w:tbl>
      <w:tblPr>
        <w:tblStyle w:val="34"/>
        <w:tblW w:w="8481"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97"/>
        <w:gridCol w:w="1701"/>
        <w:gridCol w:w="598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97" w:hRule="atLeast"/>
          <w:tblHeader/>
          <w:jc w:val="center"/>
        </w:trPr>
        <w:tc>
          <w:tcPr>
            <w:tcW w:w="797" w:type="dxa"/>
            <w:tcBorders>
              <w:bottom w:val="single" w:color="auto" w:sz="2" w:space="0"/>
            </w:tcBorders>
          </w:tcPr>
          <w:p>
            <w:pPr>
              <w:pStyle w:val="83"/>
              <w:spacing w:after="160"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序号</w:t>
            </w:r>
          </w:p>
        </w:tc>
        <w:tc>
          <w:tcPr>
            <w:tcW w:w="1701" w:type="dxa"/>
            <w:vAlign w:val="center"/>
          </w:tcPr>
          <w:p>
            <w:pPr>
              <w:pStyle w:val="83"/>
              <w:spacing w:after="160"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课程名称</w:t>
            </w:r>
          </w:p>
        </w:tc>
        <w:tc>
          <w:tcPr>
            <w:tcW w:w="5983" w:type="dxa"/>
            <w:vAlign w:val="center"/>
          </w:tcPr>
          <w:p>
            <w:pPr>
              <w:pStyle w:val="83"/>
              <w:spacing w:after="160" w:line="276"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Python安全工具</w:t>
            </w:r>
            <w:r>
              <w:rPr>
                <w:rFonts w:asciiTheme="minorEastAsia" w:hAnsiTheme="minorEastAsia" w:eastAsiaTheme="minorEastAsia"/>
                <w:sz w:val="18"/>
                <w:szCs w:val="18"/>
              </w:rPr>
              <w:t>开发</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bCs/>
                <w:sz w:val="18"/>
                <w:szCs w:val="18"/>
              </w:rPr>
              <w:t>掌握python安全工具的编写。</w:t>
            </w:r>
          </w:p>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bCs/>
                <w:sz w:val="18"/>
                <w:szCs w:val="18"/>
              </w:rPr>
              <w:t>全端口扫描器，网络爬虫，渗透测试，文件清理恢复，元数据分析，无线网络渗透、明文协议渗透。</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防火墙与VPN技术</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bCs/>
                <w:sz w:val="18"/>
                <w:szCs w:val="18"/>
              </w:rPr>
              <w:t>使学生掌握网络边界安全设备的安全配置要求，理解防火墙的工作原理及配置策略及各类VPN技术在不同应用场景的配置。</w:t>
            </w:r>
          </w:p>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bCs/>
                <w:sz w:val="18"/>
                <w:szCs w:val="18"/>
              </w:rPr>
              <w:t>防火墙一般配置、防火墙的多种工作模式应用，配置防火墙的高可用性、VPN技术分类，VPN产品配置与应用、入侵检测的工作原理，入侵检测类产品的配置与应用、物理隔离产品（网闸类）的配置与应用。</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网络设备安全配置</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bCs/>
                <w:sz w:val="18"/>
                <w:szCs w:val="18"/>
              </w:rPr>
              <w:t>使学生能够熟练运用各种网络安全技术，掌握各种网络设备的安全配置方法，并能根据实际应用需求进行网络安全策略的设计，实施和检测。</w:t>
            </w:r>
          </w:p>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bCs/>
                <w:sz w:val="18"/>
                <w:szCs w:val="18"/>
              </w:rPr>
              <w:t>网络风险分析、网络设备的管理安全、AAA认证授权审计、二层交换安全、IOS防火墙技术、IPS、加密技术和IPSEC VPN技术。将思科安全认证的内容融入课程。</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Linux服务与安全管理</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asciiTheme="minorEastAsia" w:hAnsiTheme="minorEastAsia" w:eastAsiaTheme="minorEastAsia"/>
                <w:b/>
                <w:sz w:val="18"/>
                <w:szCs w:val="18"/>
              </w:rPr>
              <w:t>要求</w:t>
            </w:r>
            <w:r>
              <w:rPr>
                <w:rFonts w:hint="eastAsia" w:asciiTheme="minorEastAsia" w:hAnsiTheme="minorEastAsia" w:eastAsiaTheme="minorEastAsia"/>
                <w:b/>
                <w:sz w:val="18"/>
                <w:szCs w:val="18"/>
              </w:rPr>
              <w:t>:</w:t>
            </w:r>
            <w:r>
              <w:rPr>
                <w:rFonts w:asciiTheme="minorEastAsia" w:hAnsiTheme="minorEastAsia" w:eastAsiaTheme="minorEastAsia"/>
                <w:bCs/>
                <w:sz w:val="18"/>
                <w:szCs w:val="18"/>
              </w:rPr>
              <w:t>学生能够进行日常企业工作中的Linux系统安全防护管理工作。对系统安全有一个整体的认识，全方位、立体化的综合掌握系统</w:t>
            </w:r>
            <w:r>
              <w:rPr>
                <w:rFonts w:hint="eastAsia" w:asciiTheme="minorEastAsia" w:hAnsiTheme="minorEastAsia" w:eastAsiaTheme="minorEastAsia"/>
                <w:bCs/>
                <w:sz w:val="18"/>
                <w:szCs w:val="18"/>
              </w:rPr>
              <w:t>平台</w:t>
            </w:r>
            <w:r>
              <w:rPr>
                <w:rFonts w:asciiTheme="minorEastAsia" w:hAnsiTheme="minorEastAsia" w:eastAsiaTheme="minorEastAsia"/>
                <w:bCs/>
                <w:sz w:val="18"/>
                <w:szCs w:val="18"/>
              </w:rPr>
              <w:t xml:space="preserve">安全管理知识。 </w:t>
            </w:r>
          </w:p>
          <w:p>
            <w:pPr>
              <w:pStyle w:val="83"/>
              <w:spacing w:after="160" w:line="276" w:lineRule="auto"/>
              <w:rPr>
                <w:rFonts w:asciiTheme="minorEastAsia" w:hAnsiTheme="minorEastAsia" w:eastAsiaTheme="minorEastAsia"/>
                <w:bCs/>
                <w:sz w:val="18"/>
                <w:szCs w:val="18"/>
              </w:rPr>
            </w:pPr>
            <w:r>
              <w:rPr>
                <w:rFonts w:asciiTheme="minorEastAsia" w:hAnsiTheme="minorEastAsia" w:eastAsiaTheme="minorEastAsia"/>
                <w:b/>
                <w:sz w:val="18"/>
                <w:szCs w:val="18"/>
              </w:rPr>
              <w:t>内容：</w:t>
            </w:r>
            <w:r>
              <w:rPr>
                <w:rFonts w:asciiTheme="minorEastAsia" w:hAnsiTheme="minorEastAsia" w:eastAsiaTheme="minorEastAsia"/>
                <w:bCs/>
                <w:sz w:val="18"/>
                <w:szCs w:val="18"/>
              </w:rPr>
              <w:t>服务器的安全管理、保障数据传输安全、架设CA服务器；能对WEB、FTP服务器进行安全维护，架设SSL网站；PKI公钥基础架构基础知识</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申请与签发证书；邮件的数字签名与加密</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使用网络管理工具等。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5</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WEB应用安全</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bCs/>
                <w:sz w:val="18"/>
                <w:szCs w:val="18"/>
              </w:rPr>
              <w:t>学生能够担负起中小型WEB服务器的安全管理工作。熟悉WEB应用中常见的安全漏洞，对WEB服务安全有较为完整的认识，较全面地掌握维护WEB服务安全的管理技能。</w:t>
            </w:r>
          </w:p>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bCs/>
                <w:sz w:val="18"/>
                <w:szCs w:val="18"/>
              </w:rPr>
              <w:t>WEB　OWASPtop10、以典型的WEB应用为例讲解各功能模块存在的安全漏洞，使用何种检测工具，如何对已检出漏洞进行有效预防。</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563" w:hRule="atLeast"/>
          <w:jc w:val="center"/>
        </w:trPr>
        <w:tc>
          <w:tcPr>
            <w:tcW w:w="797" w:type="dxa"/>
            <w:tcBorders>
              <w:top w:val="single" w:color="auto" w:sz="2" w:space="0"/>
              <w:bottom w:val="single" w:color="auto" w:sz="2" w:space="0"/>
            </w:tcBorders>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1701" w:type="dxa"/>
            <w:vAlign w:val="center"/>
          </w:tcPr>
          <w:p>
            <w:pPr>
              <w:pStyle w:val="83"/>
              <w:spacing w:after="160" w:line="276" w:lineRule="auto"/>
              <w:ind w:firstLine="360"/>
              <w:rPr>
                <w:rFonts w:asciiTheme="minorEastAsia" w:hAnsiTheme="minorEastAsia" w:eastAsiaTheme="minorEastAsia"/>
                <w:sz w:val="18"/>
                <w:szCs w:val="18"/>
              </w:rPr>
            </w:pPr>
            <w:r>
              <w:rPr>
                <w:rFonts w:hint="eastAsia" w:asciiTheme="minorEastAsia" w:hAnsiTheme="minorEastAsia" w:eastAsiaTheme="minorEastAsia"/>
                <w:sz w:val="18"/>
                <w:szCs w:val="18"/>
              </w:rPr>
              <w:t>渗透测试</w:t>
            </w:r>
          </w:p>
        </w:tc>
        <w:tc>
          <w:tcPr>
            <w:tcW w:w="5983" w:type="dxa"/>
            <w:vAlign w:val="center"/>
          </w:tcPr>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bCs/>
                <w:sz w:val="18"/>
                <w:szCs w:val="18"/>
              </w:rPr>
              <w:t>学生能按照信息安全渗透测试基本操作流程，依据渗透测试的四步模型法，能够规范、准确、熟练地完成渗透测试全部流程。</w:t>
            </w:r>
          </w:p>
          <w:p>
            <w:pPr>
              <w:pStyle w:val="83"/>
              <w:spacing w:after="160" w:line="276" w:lineRule="auto"/>
              <w:rPr>
                <w:rFonts w:asciiTheme="minorEastAsia" w:hAnsiTheme="minorEastAsia" w:eastAsiaTheme="minorEastAsia"/>
                <w:bCs/>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bCs/>
                <w:sz w:val="18"/>
                <w:szCs w:val="18"/>
              </w:rPr>
              <w:t>渗透测试的定义与漏洞检测的区别、WEB应用架构分析、owasp top 10、渗透测试的信息收集，漏洞检查，漏洞利用，访问维持及漏洞测试报告的书写规范等。</w:t>
            </w:r>
          </w:p>
        </w:tc>
      </w:tr>
      <w:bookmarkEnd w:id="37"/>
    </w:tbl>
    <w:p>
      <w:pPr>
        <w:spacing w:after="160" w:line="276" w:lineRule="auto"/>
        <w:rPr>
          <w:rFonts w:ascii="Times New Roman" w:hAnsi="Times New Roman" w:eastAsia="宋体" w:cs="Times New Roman"/>
          <w:sz w:val="24"/>
          <w:szCs w:val="24"/>
        </w:rPr>
      </w:pPr>
      <w:bookmarkStart w:id="41" w:name="_Toc10469502"/>
      <w:bookmarkStart w:id="42" w:name="_Toc377475442"/>
      <w:bookmarkStart w:id="43" w:name="_Toc378165567"/>
      <w:r>
        <w:rPr>
          <w:rFonts w:hint="eastAsia" w:ascii="Times New Roman" w:hAnsi="Times New Roman" w:eastAsia="宋体" w:cs="Times New Roman"/>
          <w:sz w:val="24"/>
          <w:szCs w:val="24"/>
        </w:rPr>
        <w:t>（四）实践性教学环节</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实践性教学环节主要包括实训、项目实战、认识实习、岗位实习等。实训、项目实战可在校内实训室以及校外实训基地等开展完成；认识实习、岗位实习可由学校组织在信息安全相关企业开展完成。实训实习主要包括项目实战，综合能力实训等类型，顶岗实习等应严格执行《职业学校学生实习管理规定》和《高等职业学校信息安全应用技术顶岗实习标准》。</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（五）相关要求</w:t>
      </w:r>
    </w:p>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学校应统筹安排各类课程设置，注重理论与实践一体化教学；应结合实际，开设安全教 育、社会责任、绿色环保、管理等方面的选修课程、拓展课程或专题讲座（活动），并将有关内容融入专业课程教学；开设创新创业教育课程；自主开设其他特色课程；组织开展德育活动、志愿服务活动和其他实践活动。</w:t>
      </w:r>
    </w:p>
    <w:p>
      <w:pPr>
        <w:pStyle w:val="3"/>
        <w:spacing w:before="156" w:beforeLines="50" w:after="156" w:afterLines="50" w:line="276" w:lineRule="auto"/>
        <w:rPr>
          <w:rFonts w:ascii="黑体" w:hAnsi="黑体"/>
          <w:b w:val="0"/>
          <w:bCs/>
          <w:sz w:val="24"/>
          <w:szCs w:val="24"/>
        </w:rPr>
      </w:pPr>
      <w:r>
        <w:rPr>
          <w:rFonts w:hint="eastAsia" w:ascii="黑体" w:hAnsi="黑体"/>
          <w:b w:val="0"/>
          <w:bCs/>
          <w:sz w:val="24"/>
          <w:szCs w:val="24"/>
        </w:rPr>
        <w:t>七、</w:t>
      </w:r>
      <w:bookmarkEnd w:id="41"/>
      <w:r>
        <w:rPr>
          <w:rFonts w:hint="eastAsia" w:ascii="黑体" w:hAnsi="黑体"/>
          <w:b w:val="0"/>
          <w:bCs/>
          <w:sz w:val="24"/>
          <w:szCs w:val="24"/>
        </w:rPr>
        <w:t>教学进度总体安排</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（一）学时安排</w:t>
      </w:r>
    </w:p>
    <w:bookmarkEnd w:id="42"/>
    <w:bookmarkEnd w:id="43"/>
    <w:p>
      <w:pPr>
        <w:spacing w:after="160" w:line="276" w:lineRule="auto"/>
        <w:ind w:firstLine="420"/>
        <w:rPr>
          <w:rFonts w:ascii="Times New Roman" w:hAnsi="Times New Roman" w:eastAsia="宋体" w:cs="Times New Roman"/>
          <w:szCs w:val="21"/>
        </w:rPr>
      </w:pPr>
      <w:r>
        <w:rPr>
          <w:rFonts w:hint="eastAsia" w:ascii="Times New Roman" w:hAnsi="Times New Roman" w:eastAsia="宋体" w:cs="Times New Roman"/>
          <w:szCs w:val="21"/>
        </w:rPr>
        <w:t>信息安全应用技术的教学活动周进程安排表如表3所示。</w:t>
      </w:r>
    </w:p>
    <w:p>
      <w:pPr>
        <w:pStyle w:val="98"/>
        <w:spacing w:after="160" w:line="276" w:lineRule="auto"/>
        <w:ind w:firstLine="420"/>
        <w:jc w:val="center"/>
        <w:rPr>
          <w:b/>
          <w:bCs/>
          <w:color w:val="000000"/>
        </w:rPr>
      </w:pPr>
      <w:r>
        <w:rPr>
          <w:szCs w:val="21"/>
        </w:rPr>
        <w:t xml:space="preserve">         </w:t>
      </w:r>
      <w:r>
        <w:rPr>
          <w:rFonts w:hint="eastAsia"/>
          <w:b/>
          <w:bCs/>
          <w:color w:val="000000"/>
        </w:rPr>
        <w:t>表3：教学活动周进程安排表</w:t>
      </w:r>
      <w:r>
        <w:rPr>
          <w:b/>
          <w:bCs/>
          <w:color w:val="000000"/>
        </w:rPr>
        <w:t xml:space="preserve">         </w:t>
      </w:r>
      <w:r>
        <w:rPr>
          <w:rFonts w:hint="eastAsia"/>
          <w:b/>
          <w:bCs/>
          <w:color w:val="000000"/>
        </w:rPr>
        <w:t>单位：周</w:t>
      </w:r>
    </w:p>
    <w:tbl>
      <w:tblPr>
        <w:tblStyle w:val="34"/>
        <w:tblW w:w="4995" w:type="pct"/>
        <w:tblInd w:w="0" w:type="dxa"/>
        <w:tblLayout w:type="autofit"/>
        <w:tblCellMar>
          <w:top w:w="0" w:type="dxa"/>
          <w:left w:w="0" w:type="dxa"/>
          <w:bottom w:w="0" w:type="dxa"/>
          <w:right w:w="0" w:type="dxa"/>
        </w:tblCellMar>
      </w:tblPr>
      <w:tblGrid>
        <w:gridCol w:w="1040"/>
        <w:gridCol w:w="721"/>
        <w:gridCol w:w="721"/>
        <w:gridCol w:w="721"/>
        <w:gridCol w:w="721"/>
        <w:gridCol w:w="721"/>
        <w:gridCol w:w="721"/>
        <w:gridCol w:w="721"/>
        <w:gridCol w:w="722"/>
        <w:gridCol w:w="722"/>
        <w:gridCol w:w="797"/>
      </w:tblGrid>
      <w:tr>
        <w:tblPrEx>
          <w:tblCellMar>
            <w:top w:w="0" w:type="dxa"/>
            <w:left w:w="0" w:type="dxa"/>
            <w:bottom w:w="0" w:type="dxa"/>
            <w:right w:w="0" w:type="dxa"/>
          </w:tblCellMar>
        </w:tblPrEx>
        <w:trPr>
          <w:trHeight w:val="300" w:hRule="atLeast"/>
        </w:trPr>
        <w:tc>
          <w:tcPr>
            <w:tcW w:w="624"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bookmarkStart w:id="44" w:name="_Toc10469504"/>
            <w:bookmarkStart w:id="45" w:name="_Hlk10468212"/>
            <w:r>
              <w:rPr>
                <w:rFonts w:hint="eastAsia" w:cs="宋体" w:asciiTheme="majorEastAsia" w:hAnsiTheme="majorEastAsia" w:eastAsiaTheme="majorEastAsia"/>
                <w:b/>
                <w:color w:val="000000"/>
                <w:kern w:val="0"/>
                <w:sz w:val="16"/>
                <w:szCs w:val="16"/>
                <w:lang w:bidi="ar"/>
              </w:rPr>
              <w:t>学期</w:t>
            </w:r>
          </w:p>
        </w:tc>
        <w:tc>
          <w:tcPr>
            <w:tcW w:w="432" w:type="pct"/>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入学</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军 训</w:t>
            </w:r>
          </w:p>
        </w:tc>
        <w:tc>
          <w:tcPr>
            <w:tcW w:w="432" w:type="pct"/>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课堂</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实训（实验）</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实习</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考 试</w:t>
            </w:r>
          </w:p>
        </w:tc>
        <w:tc>
          <w:tcPr>
            <w:tcW w:w="432"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毕业设计</w:t>
            </w:r>
          </w:p>
        </w:tc>
        <w:tc>
          <w:tcPr>
            <w:tcW w:w="433"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机 动</w:t>
            </w:r>
          </w:p>
        </w:tc>
        <w:tc>
          <w:tcPr>
            <w:tcW w:w="433"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假 期</w:t>
            </w:r>
          </w:p>
        </w:tc>
        <w:tc>
          <w:tcPr>
            <w:tcW w:w="478" w:type="pct"/>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总 计</w:t>
            </w:r>
          </w:p>
        </w:tc>
      </w:tr>
      <w:tr>
        <w:tblPrEx>
          <w:tblCellMar>
            <w:top w:w="0" w:type="dxa"/>
            <w:left w:w="0" w:type="dxa"/>
            <w:bottom w:w="0" w:type="dxa"/>
            <w:right w:w="0" w:type="dxa"/>
          </w:tblCellMar>
        </w:tblPrEx>
        <w:trPr>
          <w:trHeight w:val="285" w:hRule="atLeast"/>
        </w:trPr>
        <w:tc>
          <w:tcPr>
            <w:tcW w:w="624"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32" w:type="pct"/>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教育</w:t>
            </w: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after="160" w:line="276" w:lineRule="auto"/>
              <w:jc w:val="center"/>
              <w:rPr>
                <w:rFonts w:cs="宋体" w:asciiTheme="majorEastAsia" w:hAnsiTheme="majorEastAsia" w:eastAsiaTheme="majorEastAsia"/>
                <w:b/>
                <w:color w:val="000000"/>
                <w:kern w:val="0"/>
                <w:sz w:val="16"/>
                <w:szCs w:val="16"/>
                <w:lang w:bidi="ar"/>
              </w:rPr>
            </w:pPr>
          </w:p>
        </w:tc>
        <w:tc>
          <w:tcPr>
            <w:tcW w:w="432" w:type="pct"/>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b/>
                <w:color w:val="000000"/>
                <w:kern w:val="0"/>
                <w:sz w:val="16"/>
                <w:szCs w:val="16"/>
                <w:lang w:bidi="ar"/>
              </w:rPr>
            </w:pPr>
            <w:r>
              <w:rPr>
                <w:rFonts w:hint="eastAsia" w:cs="宋体" w:asciiTheme="majorEastAsia" w:hAnsiTheme="majorEastAsia" w:eastAsiaTheme="majorEastAsia"/>
                <w:b/>
                <w:color w:val="000000"/>
                <w:kern w:val="0"/>
                <w:sz w:val="16"/>
                <w:szCs w:val="16"/>
                <w:lang w:bidi="ar"/>
              </w:rPr>
              <w:t>教学</w:t>
            </w: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spacing w:after="160" w:line="276" w:lineRule="auto"/>
              <w:jc w:val="center"/>
              <w:rPr>
                <w:rFonts w:cs="宋体" w:asciiTheme="majorEastAsia" w:hAnsiTheme="majorEastAsia" w:eastAsiaTheme="majorEastAsia"/>
                <w:b/>
                <w:color w:val="000000"/>
                <w:kern w:val="0"/>
                <w:sz w:val="16"/>
                <w:szCs w:val="16"/>
                <w:lang w:bidi="ar"/>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32"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33"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33"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478" w:type="pct"/>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r>
      <w:tr>
        <w:tblPrEx>
          <w:tblCellMar>
            <w:top w:w="0" w:type="dxa"/>
            <w:left w:w="0" w:type="dxa"/>
            <w:bottom w:w="0" w:type="dxa"/>
            <w:right w:w="0" w:type="dxa"/>
          </w:tblCellMar>
        </w:tblPrEx>
        <w:trPr>
          <w:trHeight w:val="285" w:hRule="atLeast"/>
        </w:trPr>
        <w:tc>
          <w:tcPr>
            <w:tcW w:w="624"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第一学期</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16</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3"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4</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24</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第二学期</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16</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8</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28</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第三学期</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16</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4</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24</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第四学期</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r>
              <w:rPr>
                <w:rFonts w:hint="eastAsia" w:cs="宋体" w:asciiTheme="majorEastAsia" w:hAnsiTheme="majorEastAsia" w:eastAsiaTheme="majorEastAsia"/>
                <w:color w:val="000000"/>
                <w:kern w:val="0"/>
                <w:sz w:val="16"/>
                <w:szCs w:val="16"/>
                <w:lang w:bidi="ar"/>
              </w:rPr>
              <w:t>6</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8</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28</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第五学期</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8</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4</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24</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第六学期</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nil"/>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16</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3</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78" w:type="pc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20</w:t>
            </w:r>
          </w:p>
        </w:tc>
      </w:tr>
      <w:tr>
        <w:tblPrEx>
          <w:tblCellMar>
            <w:top w:w="0" w:type="dxa"/>
            <w:left w:w="0" w:type="dxa"/>
            <w:bottom w:w="0" w:type="dxa"/>
            <w:right w:w="0" w:type="dxa"/>
          </w:tblCellMar>
        </w:tblPrEx>
        <w:trPr>
          <w:trHeight w:val="285" w:hRule="atLeast"/>
        </w:trPr>
        <w:tc>
          <w:tcPr>
            <w:tcW w:w="624"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spacing w:after="160" w:line="276" w:lineRule="auto"/>
              <w:jc w:val="center"/>
              <w:textAlignment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总计</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0</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7</w:t>
            </w:r>
            <w:r>
              <w:rPr>
                <w:rFonts w:hint="eastAsia" w:cs="宋体" w:asciiTheme="majorEastAsia" w:hAnsiTheme="majorEastAsia" w:eastAsiaTheme="majorEastAsia"/>
                <w:color w:val="000000"/>
                <w:kern w:val="0"/>
                <w:sz w:val="16"/>
                <w:szCs w:val="16"/>
                <w:lang w:bidi="ar"/>
              </w:rPr>
              <w:t>4</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5</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r>
              <w:rPr>
                <w:rFonts w:cs="宋体" w:asciiTheme="majorEastAsia" w:hAnsiTheme="majorEastAsia" w:eastAsiaTheme="majorEastAsia"/>
                <w:color w:val="000000"/>
                <w:kern w:val="0"/>
                <w:sz w:val="16"/>
                <w:szCs w:val="16"/>
                <w:lang w:bidi="ar"/>
              </w:rPr>
              <w:t>24</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6</w:t>
            </w:r>
          </w:p>
        </w:tc>
        <w:tc>
          <w:tcPr>
            <w:tcW w:w="432"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tcPr>
          <w:p>
            <w:pPr>
              <w:spacing w:after="160" w:line="276" w:lineRule="auto"/>
              <w:jc w:val="center"/>
              <w:rPr>
                <w:rFonts w:cs="宋体" w:asciiTheme="majorEastAsia" w:hAnsiTheme="majorEastAsia" w:eastAsiaTheme="majorEastAsia"/>
                <w:color w:val="000000"/>
                <w:kern w:val="0"/>
                <w:sz w:val="16"/>
                <w:szCs w:val="16"/>
                <w:lang w:bidi="ar"/>
              </w:rPr>
            </w:pP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10</w:t>
            </w:r>
          </w:p>
        </w:tc>
        <w:tc>
          <w:tcPr>
            <w:tcW w:w="43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28</w:t>
            </w:r>
          </w:p>
        </w:tc>
        <w:tc>
          <w:tcPr>
            <w:tcW w:w="478"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spacing w:after="160" w:line="276" w:lineRule="auto"/>
              <w:jc w:val="center"/>
              <w:rPr>
                <w:rFonts w:cs="宋体" w:asciiTheme="majorEastAsia" w:hAnsiTheme="majorEastAsia" w:eastAsiaTheme="majorEastAsia"/>
                <w:color w:val="000000"/>
                <w:kern w:val="0"/>
                <w:sz w:val="16"/>
                <w:szCs w:val="16"/>
                <w:lang w:bidi="ar"/>
              </w:rPr>
            </w:pPr>
            <w:r>
              <w:rPr>
                <w:rFonts w:hint="eastAsia" w:cs="宋体" w:asciiTheme="majorEastAsia" w:hAnsiTheme="majorEastAsia" w:eastAsiaTheme="majorEastAsia"/>
                <w:color w:val="000000"/>
                <w:kern w:val="0"/>
                <w:sz w:val="16"/>
                <w:szCs w:val="16"/>
                <w:lang w:bidi="ar"/>
              </w:rPr>
              <w:t>148</w:t>
            </w:r>
          </w:p>
        </w:tc>
      </w:tr>
    </w:tbl>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（二）教学进度表</w:t>
      </w:r>
      <w:bookmarkEnd w:id="44"/>
    </w:p>
    <w:bookmarkEnd w:id="45"/>
    <w:p>
      <w:pPr>
        <w:snapToGrid w:val="0"/>
        <w:spacing w:line="300" w:lineRule="auto"/>
        <w:ind w:firstLine="420" w:firstLineChars="200"/>
        <w:rPr>
          <w:rFonts w:ascii="Times New Roman" w:hAnsi="Times New Roman" w:eastAsia="宋体" w:cs="Times New Roman"/>
          <w:szCs w:val="21"/>
        </w:rPr>
        <w:sectPr>
          <w:headerReference r:id="rId3" w:type="default"/>
          <w:headerReference r:id="rId4" w:type="even"/>
          <w:pgSz w:w="11906" w:h="16838"/>
          <w:pgMar w:top="1440" w:right="1800" w:bottom="1440" w:left="1800" w:header="851" w:footer="992" w:gutter="0"/>
          <w:cols w:space="720" w:num="1"/>
          <w:docGrid w:type="lines" w:linePitch="312" w:charSpace="0"/>
        </w:sectPr>
      </w:pPr>
      <w:r>
        <w:rPr>
          <w:rFonts w:hint="eastAsia" w:ascii="Times New Roman" w:hAnsi="Times New Roman" w:eastAsia="宋体" w:cs="Times New Roman"/>
          <w:szCs w:val="21"/>
        </w:rPr>
        <w:t>信息安全应用技术的专业教学进程表如表4所示。</w:t>
      </w:r>
    </w:p>
    <w:p>
      <w:pPr>
        <w:snapToGrid w:val="0"/>
        <w:spacing w:line="300" w:lineRule="auto"/>
        <w:ind w:firstLine="422" w:firstLineChars="200"/>
        <w:jc w:val="center"/>
        <w:rPr>
          <w:rFonts w:ascii="宋体" w:hAnsi="宋体" w:cs="宋体"/>
          <w:color w:val="000000"/>
          <w:kern w:val="0"/>
          <w:sz w:val="18"/>
          <w:szCs w:val="18"/>
        </w:rPr>
      </w:pPr>
      <w:r>
        <w:rPr>
          <w:rFonts w:hint="eastAsia" w:ascii="仿宋" w:hAnsi="仿宋" w:eastAsia="仿宋" w:cs="Times New Roman"/>
          <w:b/>
          <w:bCs/>
          <w:color w:val="000000"/>
          <w:szCs w:val="21"/>
        </w:rPr>
        <w:t xml:space="preserve">表4 </w:t>
      </w:r>
      <w:r>
        <w:rPr>
          <w:rFonts w:ascii="仿宋" w:hAnsi="仿宋" w:eastAsia="仿宋" w:cs="Times New Roman"/>
          <w:b/>
          <w:bCs/>
          <w:color w:val="000000"/>
          <w:szCs w:val="21"/>
        </w:rPr>
        <w:t xml:space="preserve"> </w:t>
      </w:r>
      <w:bookmarkStart w:id="46" w:name="_Hlk12693391"/>
      <w:r>
        <w:rPr>
          <w:rFonts w:hint="eastAsia" w:ascii="仿宋" w:hAnsi="仿宋" w:eastAsia="仿宋" w:cs="Times New Roman"/>
          <w:b/>
          <w:bCs/>
          <w:color w:val="000000"/>
          <w:szCs w:val="21"/>
        </w:rPr>
        <w:t>信息安全应用技术教学进程表</w:t>
      </w:r>
    </w:p>
    <w:tbl>
      <w:tblPr>
        <w:tblStyle w:val="34"/>
        <w:tblW w:w="13880" w:type="dxa"/>
        <w:tblInd w:w="0" w:type="dxa"/>
        <w:tblLayout w:type="autofit"/>
        <w:tblCellMar>
          <w:top w:w="0" w:type="dxa"/>
          <w:left w:w="0" w:type="dxa"/>
          <w:bottom w:w="0" w:type="dxa"/>
          <w:right w:w="0" w:type="dxa"/>
        </w:tblCellMar>
      </w:tblPr>
      <w:tblGrid>
        <w:gridCol w:w="976"/>
        <w:gridCol w:w="715"/>
        <w:gridCol w:w="2205"/>
        <w:gridCol w:w="832"/>
        <w:gridCol w:w="1184"/>
        <w:gridCol w:w="1432"/>
        <w:gridCol w:w="1304"/>
        <w:gridCol w:w="976"/>
        <w:gridCol w:w="872"/>
        <w:gridCol w:w="864"/>
        <w:gridCol w:w="888"/>
        <w:gridCol w:w="816"/>
        <w:gridCol w:w="816"/>
      </w:tblGrid>
      <w:tr>
        <w:tblPrEx>
          <w:tblCellMar>
            <w:top w:w="0" w:type="dxa"/>
            <w:left w:w="0" w:type="dxa"/>
            <w:bottom w:w="0" w:type="dxa"/>
            <w:right w:w="0" w:type="dxa"/>
          </w:tblCellMar>
        </w:tblPrEx>
        <w:trPr>
          <w:trHeight w:val="295" w:hRule="atLeast"/>
        </w:trPr>
        <w:tc>
          <w:tcPr>
            <w:tcW w:w="976" w:type="dxa"/>
            <w:vMerge w:val="restar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课程类别</w:t>
            </w:r>
          </w:p>
        </w:tc>
        <w:tc>
          <w:tcPr>
            <w:tcW w:w="2920" w:type="dxa"/>
            <w:gridSpan w:val="2"/>
            <w:vMerge w:val="restart"/>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课程名称</w:t>
            </w:r>
          </w:p>
        </w:tc>
        <w:tc>
          <w:tcPr>
            <w:tcW w:w="832" w:type="dxa"/>
            <w:vMerge w:val="restart"/>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分</w:t>
            </w:r>
          </w:p>
        </w:tc>
        <w:tc>
          <w:tcPr>
            <w:tcW w:w="1184" w:type="dxa"/>
            <w:vMerge w:val="restart"/>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总</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时</w:t>
            </w:r>
          </w:p>
        </w:tc>
        <w:tc>
          <w:tcPr>
            <w:tcW w:w="1432" w:type="dxa"/>
            <w:vMerge w:val="restart"/>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考试</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（考查）</w:t>
            </w:r>
          </w:p>
        </w:tc>
        <w:tc>
          <w:tcPr>
            <w:tcW w:w="1304" w:type="dxa"/>
            <w:vMerge w:val="restart"/>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实</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践</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学</w:t>
            </w:r>
            <w:r>
              <w:rPr>
                <w:rFonts w:hint="eastAsia" w:ascii="黑体" w:hAnsi="宋体" w:eastAsia="黑体" w:cs="黑体"/>
                <w:b/>
                <w:color w:val="000000"/>
                <w:kern w:val="0"/>
                <w:sz w:val="18"/>
                <w:szCs w:val="18"/>
                <w:lang w:bidi="ar"/>
              </w:rPr>
              <w:br w:type="textWrapping"/>
            </w:r>
            <w:r>
              <w:rPr>
                <w:rFonts w:hint="eastAsia" w:ascii="黑体" w:hAnsi="宋体" w:eastAsia="黑体" w:cs="黑体"/>
                <w:b/>
                <w:color w:val="000000"/>
                <w:kern w:val="0"/>
                <w:sz w:val="18"/>
                <w:szCs w:val="18"/>
                <w:lang w:bidi="ar"/>
              </w:rPr>
              <w:t>时</w:t>
            </w:r>
          </w:p>
        </w:tc>
        <w:tc>
          <w:tcPr>
            <w:tcW w:w="5232" w:type="dxa"/>
            <w:gridSpan w:val="6"/>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lang w:bidi="ar"/>
              </w:rPr>
              <w:t>各学期周数、学分分配</w:t>
            </w:r>
          </w:p>
        </w:tc>
      </w:tr>
      <w:tr>
        <w:tblPrEx>
          <w:tblCellMar>
            <w:top w:w="0" w:type="dxa"/>
            <w:left w:w="0" w:type="dxa"/>
            <w:bottom w:w="0" w:type="dxa"/>
            <w:right w:w="0" w:type="dxa"/>
          </w:tblCellMar>
        </w:tblPrEx>
        <w:trPr>
          <w:trHeight w:val="295" w:hRule="atLeast"/>
        </w:trPr>
        <w:tc>
          <w:tcPr>
            <w:tcW w:w="976" w:type="dxa"/>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2920" w:type="dxa"/>
            <w:gridSpan w:val="2"/>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832"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184"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432"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304"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r>
      <w:tr>
        <w:tblPrEx>
          <w:tblCellMar>
            <w:top w:w="0" w:type="dxa"/>
            <w:left w:w="0" w:type="dxa"/>
            <w:bottom w:w="0" w:type="dxa"/>
            <w:right w:w="0" w:type="dxa"/>
          </w:tblCellMar>
        </w:tblPrEx>
        <w:trPr>
          <w:trHeight w:val="295" w:hRule="atLeast"/>
        </w:trPr>
        <w:tc>
          <w:tcPr>
            <w:tcW w:w="976" w:type="dxa"/>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2920" w:type="dxa"/>
            <w:gridSpan w:val="2"/>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832"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184"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432"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1304" w:type="dxa"/>
            <w:vMerge w:val="continue"/>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b/>
                <w:color w:val="000000"/>
                <w:sz w:val="18"/>
                <w:szCs w:val="18"/>
              </w:rPr>
            </w:pP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16+2</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16+2</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16+3</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10+8</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16+2</w:t>
            </w:r>
          </w:p>
        </w:tc>
      </w:tr>
      <w:tr>
        <w:tblPrEx>
          <w:tblCellMar>
            <w:top w:w="0" w:type="dxa"/>
            <w:left w:w="0" w:type="dxa"/>
            <w:bottom w:w="0" w:type="dxa"/>
            <w:right w:w="0" w:type="dxa"/>
          </w:tblCellMar>
        </w:tblPrEx>
        <w:trPr>
          <w:trHeight w:val="535" w:hRule="atLeast"/>
        </w:trPr>
        <w:tc>
          <w:tcPr>
            <w:tcW w:w="976" w:type="dxa"/>
            <w:vMerge w:val="restar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公共基础必修课</w:t>
            </w:r>
          </w:p>
        </w:tc>
        <w:tc>
          <w:tcPr>
            <w:tcW w:w="2920" w:type="dxa"/>
            <w:gridSpan w:val="2"/>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毛泽东思想和中国特色社会主义理论体系概论1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2"/>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思想道德与法治1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1.5</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形势与政策1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体育1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心理健康教育1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计算机应用基础1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应用数学1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实用英语1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职业生涯规划与职业指导</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心理健康教育2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sz w:val="20"/>
                <w:szCs w:val="20"/>
              </w:rPr>
              <w:t>计算机应用基础2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20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大学生安全教育</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38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53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毛泽东思想和中国特色社会主义理论体系概论2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思想道德与法治2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1.5</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习近平新时代中国特色社会主义思想概论</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2</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形势与政策2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互联网+创业实践</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计算机应用基础3</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形势与政策3</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0.5</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大学语文</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2</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形势与政策4</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0.5</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0.5</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体育2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应用数学2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实用英语2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军事理论与训练</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实用英语3</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2</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实用英语4</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劳动教育</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1</w:t>
            </w: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20"/>
                <w:szCs w:val="20"/>
              </w:rPr>
            </w:pPr>
            <w:r>
              <w:rPr>
                <w:rFonts w:hint="eastAsia" w:ascii="黑体" w:hAnsi="宋体" w:eastAsia="黑体" w:cs="黑体"/>
                <w:color w:val="000000"/>
                <w:kern w:val="0"/>
                <w:sz w:val="20"/>
                <w:szCs w:val="20"/>
                <w:lang w:bidi="ar"/>
              </w:rPr>
              <w:t>小计</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sz w:val="20"/>
                <w:szCs w:val="20"/>
              </w:rPr>
            </w:pPr>
            <w:r>
              <w:rPr>
                <w:rFonts w:ascii="Calibri" w:hAnsi="Calibri" w:cs="Calibri"/>
                <w:b/>
                <w:bCs/>
                <w:sz w:val="20"/>
                <w:szCs w:val="20"/>
              </w:rPr>
              <w:t>50</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sz w:val="20"/>
                <w:szCs w:val="20"/>
              </w:rPr>
            </w:pPr>
            <w:r>
              <w:rPr>
                <w:rFonts w:ascii="Calibri" w:hAnsi="Calibri" w:cs="Calibri"/>
                <w:b/>
                <w:bCs/>
                <w:sz w:val="20"/>
                <w:szCs w:val="20"/>
              </w:rPr>
              <w:t>806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Calibri" w:hAnsi="Calibri" w:eastAsia="等线" w:cs="Calibri"/>
                <w:sz w:val="20"/>
                <w:szCs w:val="20"/>
              </w:rPr>
            </w:pPr>
            <w:r>
              <w:rPr>
                <w:rFonts w:ascii="Calibri" w:hAnsi="Calibri" w:cs="Calibri"/>
                <w:b/>
                <w:bCs/>
                <w:sz w:val="20"/>
                <w:szCs w:val="20"/>
              </w:rPr>
              <w:t>　</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sz w:val="20"/>
                <w:szCs w:val="20"/>
              </w:rPr>
            </w:pPr>
            <w:r>
              <w:rPr>
                <w:rFonts w:ascii="Calibri" w:hAnsi="Calibri" w:cs="Calibri"/>
                <w:b/>
                <w:bCs/>
                <w:sz w:val="20"/>
                <w:szCs w:val="20"/>
              </w:rPr>
              <w:t>222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18</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21</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7.5</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2.5</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1</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cs="Calibri"/>
                <w:b/>
                <w:bCs/>
                <w:color w:val="000000"/>
                <w:sz w:val="20"/>
                <w:szCs w:val="20"/>
              </w:rPr>
              <w:t>　</w:t>
            </w:r>
          </w:p>
        </w:tc>
      </w:tr>
      <w:tr>
        <w:tblPrEx>
          <w:tblCellMar>
            <w:top w:w="0" w:type="dxa"/>
            <w:left w:w="0" w:type="dxa"/>
            <w:bottom w:w="0" w:type="dxa"/>
            <w:right w:w="0" w:type="dxa"/>
          </w:tblCellMar>
        </w:tblPrEx>
        <w:trPr>
          <w:trHeight w:val="280" w:hRule="atLeast"/>
        </w:trPr>
        <w:tc>
          <w:tcPr>
            <w:tcW w:w="976" w:type="dxa"/>
            <w:vMerge w:val="restar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公共基础选修课</w:t>
            </w: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公共艺术选修</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4256" w:type="dxa"/>
            <w:gridSpan w:val="5"/>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20"/>
                <w:szCs w:val="20"/>
              </w:rPr>
            </w:pPr>
            <w:r>
              <w:rPr>
                <w:rFonts w:hint="eastAsia"/>
                <w:sz w:val="20"/>
                <w:szCs w:val="20"/>
              </w:rPr>
              <w:t>2，任意一学期</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20"/>
                <w:szCs w:val="20"/>
              </w:rPr>
            </w:pPr>
            <w:r>
              <w:rPr>
                <w:rFonts w:hint="eastAsia"/>
                <w:color w:val="000000"/>
                <w:sz w:val="20"/>
                <w:szCs w:val="20"/>
              </w:rPr>
              <w:t>公共通识选修</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4256" w:type="dxa"/>
            <w:gridSpan w:val="5"/>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Calibri" w:hAnsi="Calibri" w:eastAsia="等线" w:cs="Calibri"/>
                <w:sz w:val="20"/>
                <w:szCs w:val="20"/>
              </w:rPr>
            </w:pPr>
            <w:r>
              <w:rPr>
                <w:rFonts w:hint="eastAsia"/>
                <w:sz w:val="20"/>
                <w:szCs w:val="20"/>
              </w:rPr>
              <w:t>4，任意一学期</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20"/>
                <w:szCs w:val="20"/>
              </w:rPr>
            </w:pPr>
            <w:r>
              <w:rPr>
                <w:rFonts w:hint="eastAsia" w:ascii="黑体" w:hAnsi="宋体" w:eastAsia="黑体" w:cs="黑体"/>
                <w:color w:val="000000"/>
                <w:kern w:val="0"/>
                <w:sz w:val="20"/>
                <w:szCs w:val="20"/>
                <w:lang w:bidi="ar"/>
              </w:rPr>
              <w:t>小计</w:t>
            </w:r>
          </w:p>
        </w:tc>
        <w:tc>
          <w:tcPr>
            <w:tcW w:w="8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eastAsia="等线" w:cs="Calibri"/>
                <w:color w:val="000000"/>
                <w:kern w:val="0"/>
                <w:sz w:val="20"/>
                <w:szCs w:val="20"/>
                <w:lang w:bidi="ar"/>
              </w:rPr>
              <w:t>6</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eastAsia="等线" w:cs="Calibri"/>
                <w:color w:val="000000"/>
                <w:kern w:val="0"/>
                <w:sz w:val="20"/>
                <w:szCs w:val="20"/>
                <w:lang w:bidi="ar"/>
              </w:rPr>
              <w:t>96</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Calibri" w:hAnsi="Calibri" w:eastAsia="等线" w:cs="Calibri"/>
                <w:color w:val="000000"/>
                <w:sz w:val="20"/>
                <w:szCs w:val="20"/>
              </w:rPr>
            </w:pP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eastAsia="等线" w:cs="Calibri"/>
                <w:color w:val="000000"/>
                <w:kern w:val="0"/>
                <w:sz w:val="20"/>
                <w:szCs w:val="20"/>
                <w:lang w:bidi="ar"/>
              </w:rPr>
              <w:t>0</w:t>
            </w:r>
          </w:p>
        </w:tc>
        <w:tc>
          <w:tcPr>
            <w:tcW w:w="976"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r>
              <w:rPr>
                <w:rFonts w:ascii="Calibri" w:hAnsi="Calibri" w:eastAsia="等线" w:cs="Calibri"/>
                <w:color w:val="000000"/>
                <w:kern w:val="0"/>
                <w:sz w:val="20"/>
                <w:szCs w:val="20"/>
                <w:lang w:bidi="ar"/>
              </w:rPr>
              <w:t>0</w:t>
            </w:r>
          </w:p>
        </w:tc>
        <w:tc>
          <w:tcPr>
            <w:tcW w:w="87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p>
        </w:tc>
        <w:tc>
          <w:tcPr>
            <w:tcW w:w="86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p>
        </w:tc>
        <w:tc>
          <w:tcPr>
            <w:tcW w:w="888"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p>
        </w:tc>
        <w:tc>
          <w:tcPr>
            <w:tcW w:w="816"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p>
        </w:tc>
        <w:tc>
          <w:tcPr>
            <w:tcW w:w="816"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restar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专业</w:t>
            </w:r>
            <w:r>
              <w:rPr>
                <w:rFonts w:hint="eastAsia" w:ascii="黑体" w:hAnsi="宋体" w:eastAsia="黑体" w:cs="黑体"/>
                <w:color w:val="000000"/>
                <w:kern w:val="0"/>
                <w:sz w:val="18"/>
                <w:szCs w:val="18"/>
                <w:lang w:bidi="ar"/>
              </w:rPr>
              <w:br w:type="textWrapping"/>
            </w:r>
            <w:r>
              <w:rPr>
                <w:rFonts w:hint="eastAsia" w:ascii="黑体" w:hAnsi="宋体" w:eastAsia="黑体" w:cs="黑体"/>
                <w:color w:val="000000"/>
                <w:kern w:val="0"/>
                <w:sz w:val="18"/>
                <w:szCs w:val="18"/>
                <w:lang w:bidi="ar"/>
              </w:rPr>
              <w:t>必修课</w:t>
            </w: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sz w:val="18"/>
                <w:szCs w:val="18"/>
              </w:rPr>
              <w:t>计算机网络技术</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考试</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4</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sz w:val="12"/>
                <w:szCs w:val="12"/>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12"/>
                <w:szCs w:val="12"/>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12"/>
                <w:szCs w:val="12"/>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22"/>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sz w:val="18"/>
                <w:szCs w:val="18"/>
              </w:rPr>
              <w:t>Python程序设计</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sz w:val="20"/>
                <w:szCs w:val="20"/>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18"/>
                <w:szCs w:val="18"/>
              </w:rPr>
              <w:t>4</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sz w:val="12"/>
                <w:szCs w:val="12"/>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12"/>
                <w:szCs w:val="12"/>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12"/>
                <w:szCs w:val="12"/>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000000"/>
                <w:sz w:val="22"/>
              </w:rPr>
              <w:t>　</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Windows系统管理与应用</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rFonts w:hint="eastAsia"/>
                <w:sz w:val="18"/>
                <w:szCs w:val="18"/>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trike/>
                <w:color w:val="000000"/>
                <w:sz w:val="12"/>
                <w:szCs w:val="12"/>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trike/>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strike/>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Windows系统安全实训</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30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1周</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lang w:bidi="ar"/>
              </w:rPr>
              <w:t>★Linux服务与安全管理</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lang w:bidi="ar"/>
              </w:rPr>
              <w:t>6</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lang w:bidi="ar"/>
              </w:rPr>
              <w:t>96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20"/>
                <w:szCs w:val="20"/>
              </w:rPr>
            </w:pPr>
            <w:r>
              <w:rPr>
                <w:rFonts w:hint="eastAsia" w:ascii="宋体" w:hAnsi="宋体" w:eastAsia="宋体" w:cs="宋体"/>
                <w:color w:val="000000"/>
                <w:kern w:val="0"/>
                <w:sz w:val="20"/>
                <w:szCs w:val="20"/>
                <w:lang w:bidi="ar"/>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lang w:bidi="ar"/>
              </w:rPr>
              <w:t>48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ascii="宋体" w:hAnsi="宋体" w:eastAsia="宋体" w:cs="宋体"/>
                <w:color w:val="000000"/>
                <w:kern w:val="0"/>
                <w:sz w:val="18"/>
                <w:szCs w:val="18"/>
                <w:lang w:bidi="ar"/>
              </w:rPr>
              <w:t>6</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★网络设备安全配置</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考试</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信息安全基础</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kern w:val="0"/>
                <w:sz w:val="18"/>
                <w:szCs w:val="18"/>
                <w:lang w:bidi="ar"/>
              </w:rPr>
            </w:pPr>
            <w:r>
              <w:rPr>
                <w:rFonts w:hint="eastAsia"/>
                <w:sz w:val="18"/>
                <w:szCs w:val="18"/>
              </w:rPr>
              <w:t>WEB应用开发</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sz w:val="18"/>
                <w:szCs w:val="18"/>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sz w:val="18"/>
                <w:szCs w:val="18"/>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20"/>
                <w:szCs w:val="20"/>
                <w:lang w:bidi="ar"/>
              </w:rPr>
            </w:pPr>
            <w:r>
              <w:rPr>
                <w:rFonts w:hint="eastAsia"/>
                <w:sz w:val="20"/>
                <w:szCs w:val="20"/>
              </w:rPr>
              <w:t>考查</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sz w:val="18"/>
                <w:szCs w:val="18"/>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4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highlight w:val="yellow"/>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FF0000"/>
                <w:sz w:val="12"/>
                <w:szCs w:val="12"/>
              </w:rPr>
              <w:t>　</w:t>
            </w: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r>
              <w:rPr>
                <w:rFonts w:hint="eastAsia"/>
                <w:color w:val="FF0000"/>
                <w:sz w:val="22"/>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★Python安全工具开发</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highlight w:val="yellow"/>
              </w:rPr>
            </w:pPr>
            <w:r>
              <w:rPr>
                <w:rFonts w:hint="eastAsia"/>
                <w:sz w:val="18"/>
                <w:szCs w:val="18"/>
              </w:rPr>
              <w:t>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Linux服务安全管理实训</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1周</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★渗透测试</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ascii="宋体" w:hAnsi="宋体" w:eastAsia="宋体" w:cs="宋体"/>
                <w:sz w:val="18"/>
                <w:szCs w:val="18"/>
              </w:rPr>
              <w:t>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★WEB应用安全</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96</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48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6</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★防火墙与VPN技术</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考试</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网络安全应急响应</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64</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rFonts w:hint="eastAsia"/>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rFonts w:hint="eastAsia"/>
                <w:sz w:val="18"/>
                <w:szCs w:val="18"/>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rFonts w:hint="eastAsia"/>
                <w:sz w:val="18"/>
                <w:szCs w:val="18"/>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color w:val="FF0000"/>
                <w:sz w:val="18"/>
                <w:szCs w:val="18"/>
              </w:rPr>
            </w:pPr>
            <w:r>
              <w:rPr>
                <w:rFonts w:hint="eastAsia"/>
                <w:color w:val="000000"/>
                <w:sz w:val="12"/>
                <w:szCs w:val="12"/>
              </w:rPr>
              <w:t>　</w:t>
            </w: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color w:val="FF0000"/>
                <w:sz w:val="22"/>
              </w:rPr>
            </w:pPr>
            <w:r>
              <w:rPr>
                <w:rFonts w:hint="eastAsia"/>
                <w:color w:val="000000"/>
                <w:sz w:val="22"/>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sz w:val="18"/>
                <w:szCs w:val="18"/>
              </w:rPr>
            </w:pPr>
            <w:r>
              <w:rPr>
                <w:rFonts w:hint="eastAsia"/>
                <w:sz w:val="18"/>
                <w:szCs w:val="18"/>
              </w:rPr>
              <w:t>网络安全应急响应项目实战</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30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1周</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2"/>
                <w:szCs w:val="12"/>
              </w:rPr>
            </w:pPr>
            <w:r>
              <w:rPr>
                <w:rFonts w:hint="eastAsia"/>
                <w:color w:val="FF0000"/>
                <w:sz w:val="18"/>
                <w:szCs w:val="18"/>
              </w:rPr>
              <w:t>　</w:t>
            </w:r>
          </w:p>
        </w:tc>
        <w:tc>
          <w:tcPr>
            <w:tcW w:w="0" w:type="auto"/>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rPr>
                <w:rFonts w:ascii="等线" w:hAnsi="等线" w:eastAsia="等线" w:cs="等线"/>
                <w:color w:val="000000"/>
                <w:sz w:val="22"/>
              </w:rPr>
            </w:pPr>
            <w:r>
              <w:rPr>
                <w:rFonts w:hint="eastAsia"/>
                <w:color w:val="FF0000"/>
                <w:sz w:val="22"/>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sz w:val="18"/>
                <w:szCs w:val="18"/>
              </w:rPr>
            </w:pPr>
            <w:r>
              <w:rPr>
                <w:rFonts w:hint="eastAsia"/>
                <w:sz w:val="18"/>
                <w:szCs w:val="18"/>
              </w:rPr>
              <w:t>网络攻防项目实战</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1</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30</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sz w:val="20"/>
                <w:szCs w:val="20"/>
              </w:rPr>
              <w:t>考查</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30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hint="eastAsia"/>
                <w:sz w:val="18"/>
                <w:szCs w:val="18"/>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hint="eastAsia"/>
                <w:sz w:val="18"/>
                <w:szCs w:val="18"/>
              </w:rPr>
              <w:t>1周</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18"/>
                <w:szCs w:val="18"/>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18"/>
                <w:szCs w:val="18"/>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color w:val="000000"/>
                <w:sz w:val="20"/>
                <w:szCs w:val="20"/>
              </w:rPr>
              <w:t>认识实习</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20"/>
                <w:szCs w:val="20"/>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20"/>
                <w:szCs w:val="20"/>
              </w:rPr>
              <w:t>60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color w:val="000000"/>
                <w:sz w:val="20"/>
                <w:szCs w:val="20"/>
              </w:rPr>
              <w:t>60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color w:val="000000"/>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color w:val="000000"/>
                <w:sz w:val="18"/>
                <w:szCs w:val="18"/>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color w:val="000000"/>
                <w:sz w:val="18"/>
                <w:szCs w:val="18"/>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color w:val="000000"/>
                <w:sz w:val="18"/>
                <w:szCs w:val="18"/>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20"/>
                <w:szCs w:val="20"/>
              </w:rPr>
              <w:t>2</w:t>
            </w:r>
            <w:r>
              <w:rPr>
                <w:rFonts w:hint="eastAsia"/>
                <w:color w:val="000000"/>
                <w:sz w:val="18"/>
                <w:szCs w:val="18"/>
              </w:rPr>
              <w:t>周</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95"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FF0000"/>
                <w:sz w:val="18"/>
                <w:szCs w:val="18"/>
              </w:rPr>
            </w:pPr>
            <w:r>
              <w:rPr>
                <w:rFonts w:hint="eastAsia"/>
                <w:color w:val="000000"/>
                <w:sz w:val="20"/>
                <w:szCs w:val="20"/>
              </w:rPr>
              <w:t>岗位实习1</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sz w:val="20"/>
                <w:szCs w:val="20"/>
              </w:rPr>
              <w:t>8</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sz w:val="20"/>
                <w:szCs w:val="20"/>
              </w:rPr>
              <w:t>240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color w:val="000000"/>
                <w:sz w:val="20"/>
                <w:szCs w:val="20"/>
              </w:rPr>
              <w:t>240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FF0000"/>
                <w:sz w:val="18"/>
                <w:szCs w:val="18"/>
              </w:rPr>
            </w:pPr>
            <w:r>
              <w:rPr>
                <w:rFonts w:hint="eastAsia"/>
                <w:color w:val="000000"/>
                <w:sz w:val="20"/>
                <w:szCs w:val="20"/>
              </w:rPr>
              <w:t>8周</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FF0000"/>
                <w:sz w:val="18"/>
                <w:szCs w:val="18"/>
              </w:rPr>
            </w:pPr>
            <w:r>
              <w:rPr>
                <w:rFonts w:ascii="Calibri" w:hAnsi="Calibri" w:cs="Calibri"/>
                <w:color w:val="000000"/>
                <w:sz w:val="18"/>
                <w:szCs w:val="18"/>
              </w:rPr>
              <w:t>　</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color w:val="000000"/>
                <w:sz w:val="20"/>
                <w:szCs w:val="20"/>
              </w:rPr>
              <w:t>岗位实习2</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20"/>
                <w:szCs w:val="20"/>
              </w:rPr>
              <w:t>14</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20"/>
                <w:szCs w:val="20"/>
              </w:rPr>
              <w:t>420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color w:val="000000"/>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sz w:val="20"/>
                <w:szCs w:val="20"/>
              </w:rPr>
              <w:t>420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20"/>
                <w:szCs w:val="20"/>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20"/>
                <w:szCs w:val="20"/>
              </w:rPr>
              <w:t>　</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20"/>
                <w:szCs w:val="20"/>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color w:val="000000"/>
                <w:sz w:val="20"/>
                <w:szCs w:val="20"/>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color w:val="000000"/>
                <w:sz w:val="20"/>
                <w:szCs w:val="20"/>
              </w:rPr>
              <w:t>14周</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小计</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78</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1640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b/>
                <w:bCs/>
                <w:color w:val="000000"/>
                <w:sz w:val="18"/>
                <w:szCs w:val="18"/>
              </w:rPr>
              <w:t>　</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1240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8</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3</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19</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24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10</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14</w:t>
            </w:r>
          </w:p>
        </w:tc>
      </w:tr>
      <w:tr>
        <w:tblPrEx>
          <w:tblCellMar>
            <w:top w:w="0" w:type="dxa"/>
            <w:left w:w="0" w:type="dxa"/>
            <w:bottom w:w="0" w:type="dxa"/>
            <w:right w:w="0" w:type="dxa"/>
          </w:tblCellMar>
        </w:tblPrEx>
        <w:trPr>
          <w:trHeight w:val="280" w:hRule="atLeast"/>
        </w:trPr>
        <w:tc>
          <w:tcPr>
            <w:tcW w:w="976" w:type="dxa"/>
            <w:vMerge w:val="restar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专业</w:t>
            </w:r>
            <w:r>
              <w:rPr>
                <w:rFonts w:hint="eastAsia" w:ascii="黑体" w:hAnsi="宋体" w:eastAsia="黑体" w:cs="黑体"/>
                <w:color w:val="000000"/>
                <w:kern w:val="0"/>
                <w:sz w:val="18"/>
                <w:szCs w:val="18"/>
                <w:lang w:bidi="ar"/>
              </w:rPr>
              <w:br w:type="textWrapping"/>
            </w:r>
            <w:r>
              <w:rPr>
                <w:rFonts w:hint="eastAsia" w:ascii="黑体" w:hAnsi="宋体" w:eastAsia="黑体" w:cs="黑体"/>
                <w:color w:val="000000"/>
                <w:kern w:val="0"/>
                <w:sz w:val="18"/>
                <w:szCs w:val="18"/>
                <w:lang w:bidi="ar"/>
              </w:rPr>
              <w:t>选修课</w:t>
            </w:r>
          </w:p>
        </w:tc>
        <w:tc>
          <w:tcPr>
            <w:tcW w:w="715" w:type="dxa"/>
            <w:vMerge w:val="restart"/>
            <w:tcBorders>
              <w:top w:val="nil"/>
              <w:left w:val="nil"/>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sz w:val="18"/>
                <w:szCs w:val="18"/>
              </w:rPr>
            </w:pPr>
            <w:r>
              <w:rPr>
                <w:rFonts w:hint="eastAsia" w:ascii="宋体" w:hAnsi="宋体" w:eastAsia="宋体" w:cs="宋体"/>
                <w:sz w:val="18"/>
                <w:szCs w:val="18"/>
              </w:rPr>
              <w:t>二选一</w:t>
            </w:r>
          </w:p>
        </w:tc>
        <w:tc>
          <w:tcPr>
            <w:tcW w:w="2205" w:type="dxa"/>
            <w:vMerge w:val="restart"/>
            <w:tcBorders>
              <w:top w:val="nil"/>
              <w:left w:val="nil"/>
              <w:right w:val="single" w:color="000000" w:sz="8" w:space="0"/>
            </w:tcBorders>
            <w:shd w:val="clear" w:color="auto" w:fill="auto"/>
            <w:vAlign w:val="center"/>
          </w:tcPr>
          <w:p>
            <w:pPr>
              <w:pBdr>
                <w:bottom w:val="single" w:color="auto" w:sz="4" w:space="1"/>
              </w:pBdr>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安全运维技术</w:t>
            </w:r>
          </w:p>
          <w:p>
            <w:pPr>
              <w:jc w:val="left"/>
              <w:textAlignment w:val="center"/>
              <w:rPr>
                <w:rFonts w:ascii="宋体" w:hAnsi="宋体" w:eastAsia="宋体" w:cs="宋体"/>
                <w:sz w:val="18"/>
                <w:szCs w:val="18"/>
              </w:rPr>
            </w:pPr>
            <w:r>
              <w:rPr>
                <w:rFonts w:hint="eastAsia" w:ascii="宋体" w:hAnsi="宋体" w:eastAsia="宋体" w:cs="宋体"/>
                <w:kern w:val="0"/>
                <w:sz w:val="18"/>
                <w:szCs w:val="18"/>
                <w:lang w:bidi="ar"/>
              </w:rPr>
              <w:t>数据库安全管理</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vMerge w:val="restart"/>
            <w:tcBorders>
              <w:top w:val="single" w:color="000000" w:sz="8" w:space="0"/>
              <w:left w:val="nil"/>
              <w:right w:val="single" w:color="000000" w:sz="8" w:space="0"/>
            </w:tcBorders>
            <w:shd w:val="clear" w:color="auto" w:fill="auto"/>
            <w:tcMar>
              <w:top w:w="10" w:type="dxa"/>
              <w:left w:w="10" w:type="dxa"/>
              <w:right w:w="10" w:type="dxa"/>
            </w:tcMar>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888"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kern w:val="0"/>
                <w:sz w:val="18"/>
                <w:szCs w:val="18"/>
                <w:lang w:bidi="ar"/>
              </w:rPr>
            </w:pPr>
          </w:p>
        </w:tc>
        <w:tc>
          <w:tcPr>
            <w:tcW w:w="715" w:type="dxa"/>
            <w:vMerge w:val="continue"/>
            <w:tcBorders>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kern w:val="0"/>
                <w:sz w:val="18"/>
                <w:szCs w:val="18"/>
                <w:lang w:bidi="ar"/>
              </w:rPr>
            </w:pPr>
          </w:p>
        </w:tc>
        <w:tc>
          <w:tcPr>
            <w:tcW w:w="2205" w:type="dxa"/>
            <w:vMerge w:val="continue"/>
            <w:tcBorders>
              <w:left w:val="nil"/>
              <w:bottom w:val="single" w:color="000000" w:sz="8" w:space="0"/>
              <w:right w:val="single" w:color="000000" w:sz="8" w:space="0"/>
            </w:tcBorders>
            <w:shd w:val="clear" w:color="auto" w:fill="auto"/>
            <w:vAlign w:val="center"/>
          </w:tcPr>
          <w:p>
            <w:pPr>
              <w:widowControl/>
              <w:jc w:val="left"/>
              <w:textAlignment w:val="center"/>
              <w:rPr>
                <w:rFonts w:ascii="宋体" w:hAnsi="宋体" w:eastAsia="宋体" w:cs="宋体"/>
                <w:color w:val="000000"/>
                <w:kern w:val="0"/>
                <w:sz w:val="18"/>
                <w:szCs w:val="18"/>
                <w:lang w:bidi="ar"/>
              </w:rPr>
            </w:pP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64</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kern w:val="0"/>
                <w:sz w:val="20"/>
                <w:szCs w:val="20"/>
                <w:lang w:bidi="ar"/>
              </w:rPr>
              <w:t>考查</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vMerge w:val="continue"/>
            <w:tcBorders>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kern w:val="0"/>
                <w:sz w:val="18"/>
                <w:szCs w:val="18"/>
                <w:lang w:bidi="ar"/>
              </w:rPr>
            </w:pPr>
          </w:p>
        </w:tc>
        <w:tc>
          <w:tcPr>
            <w:tcW w:w="888"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715" w:type="dxa"/>
            <w:vMerge w:val="restart"/>
            <w:tcBorders>
              <w:top w:val="nil"/>
              <w:left w:val="nil"/>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sz w:val="18"/>
                <w:szCs w:val="18"/>
              </w:rPr>
              <w:t>二选一</w:t>
            </w:r>
          </w:p>
        </w:tc>
        <w:tc>
          <w:tcPr>
            <w:tcW w:w="2205" w:type="dxa"/>
            <w:vMerge w:val="restart"/>
            <w:tcBorders>
              <w:top w:val="nil"/>
              <w:left w:val="nil"/>
              <w:right w:val="single" w:color="000000" w:sz="8" w:space="0"/>
            </w:tcBorders>
            <w:shd w:val="clear" w:color="auto" w:fill="auto"/>
            <w:vAlign w:val="center"/>
          </w:tcPr>
          <w:p>
            <w:pPr>
              <w:pBdr>
                <w:bottom w:val="single" w:color="auto" w:sz="4" w:space="1"/>
              </w:pBd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云安全技术与应用</w:t>
            </w:r>
          </w:p>
          <w:p>
            <w:pPr>
              <w:textAlignment w:val="center"/>
              <w:rPr>
                <w:rFonts w:ascii="宋体" w:hAnsi="宋体" w:eastAsia="宋体" w:cs="宋体"/>
                <w:color w:val="000000"/>
                <w:sz w:val="18"/>
                <w:szCs w:val="18"/>
              </w:rPr>
            </w:pPr>
            <w:r>
              <w:rPr>
                <w:rFonts w:hint="eastAsia" w:ascii="宋体" w:hAnsi="宋体" w:eastAsia="宋体" w:cs="宋体"/>
                <w:kern w:val="0"/>
                <w:sz w:val="18"/>
                <w:szCs w:val="18"/>
                <w:lang w:bidi="ar"/>
              </w:rPr>
              <w:t>信息安全管理</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48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16" w:type="dxa"/>
            <w:vMerge w:val="restart"/>
            <w:tcBorders>
              <w:top w:val="nil"/>
              <w:left w:val="nil"/>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715" w:type="dxa"/>
            <w:vMerge w:val="continue"/>
            <w:tcBorders>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p>
        </w:tc>
        <w:tc>
          <w:tcPr>
            <w:tcW w:w="2205" w:type="dxa"/>
            <w:vMerge w:val="continue"/>
            <w:tcBorders>
              <w:left w:val="nil"/>
              <w:bottom w:val="single" w:color="000000" w:sz="8" w:space="0"/>
              <w:right w:val="single" w:color="000000" w:sz="8" w:space="0"/>
            </w:tcBorders>
            <w:shd w:val="clear" w:color="auto" w:fill="auto"/>
            <w:vAlign w:val="center"/>
          </w:tcPr>
          <w:p>
            <w:pPr>
              <w:widowControl/>
              <w:textAlignment w:val="center"/>
              <w:rPr>
                <w:rFonts w:ascii="宋体" w:hAnsi="宋体" w:eastAsia="宋体" w:cs="宋体"/>
                <w:color w:val="000000"/>
                <w:sz w:val="18"/>
                <w:szCs w:val="18"/>
              </w:rPr>
            </w:pP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48</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816" w:type="dxa"/>
            <w:vMerge w:val="continue"/>
            <w:tcBorders>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创业创新教育</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rFonts w:ascii="Calibri" w:hAnsi="Calibri" w:eastAsia="等线" w:cs="Calibri"/>
                <w:color w:val="000000"/>
                <w:sz w:val="20"/>
                <w:szCs w:val="20"/>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计算机系统配置</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1</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3</w:t>
            </w:r>
            <w:r>
              <w:rPr>
                <w:sz w:val="18"/>
                <w:szCs w:val="18"/>
              </w:rPr>
              <w:t>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ascii="宋体" w:hAnsi="宋体" w:eastAsia="宋体" w:cs="宋体"/>
                <w:color w:val="000000"/>
                <w:kern w:val="0"/>
                <w:sz w:val="20"/>
                <w:szCs w:val="20"/>
                <w:lang w:bidi="ar"/>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rFonts w:hint="eastAsia"/>
                <w:sz w:val="18"/>
                <w:szCs w:val="18"/>
              </w:rPr>
              <w:t>3</w:t>
            </w:r>
            <w:r>
              <w:rPr>
                <w:sz w:val="18"/>
                <w:szCs w:val="18"/>
              </w:rPr>
              <w:t>0</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r>
              <w:rPr>
                <w:rFonts w:hint="eastAsia"/>
                <w:sz w:val="18"/>
                <w:szCs w:val="18"/>
              </w:rPr>
              <w:t>1</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color w:val="000000"/>
                <w:sz w:val="12"/>
                <w:szCs w:val="12"/>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color w:val="000000"/>
                <w:sz w:val="22"/>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Python网络编程</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sz w:val="18"/>
                <w:szCs w:val="18"/>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sz w:val="18"/>
                <w:szCs w:val="18"/>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sz w:val="18"/>
                <w:szCs w:val="18"/>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r>
              <w:rPr>
                <w:sz w:val="18"/>
                <w:szCs w:val="18"/>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color w:val="000000"/>
                <w:sz w:val="12"/>
                <w:szCs w:val="12"/>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color w:val="000000"/>
                <w:sz w:val="22"/>
              </w:rPr>
            </w:pP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textAlignment w:val="center"/>
              <w:rPr>
                <w:sz w:val="18"/>
                <w:szCs w:val="18"/>
              </w:rPr>
            </w:pPr>
            <w:r>
              <w:rPr>
                <w:rFonts w:hint="eastAsia"/>
                <w:sz w:val="18"/>
                <w:szCs w:val="18"/>
              </w:rPr>
              <w:t>网络安全标准与法律法规</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rFonts w:hint="eastAsia"/>
                <w:sz w:val="18"/>
                <w:szCs w:val="18"/>
              </w:rPr>
              <w:t>2</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18"/>
                <w:szCs w:val="18"/>
              </w:rPr>
            </w:pPr>
            <w:r>
              <w:rPr>
                <w:sz w:val="18"/>
                <w:szCs w:val="18"/>
              </w:rPr>
              <w:t>32</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sz w:val="20"/>
                <w:szCs w:val="20"/>
              </w:rPr>
            </w:pPr>
            <w:r>
              <w:rPr>
                <w:rFonts w:hint="eastAsia"/>
                <w:sz w:val="20"/>
                <w:szCs w:val="20"/>
              </w:rPr>
              <w:t>考查</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sz w:val="18"/>
                <w:szCs w:val="18"/>
              </w:rPr>
            </w:pPr>
            <w:r>
              <w:rPr>
                <w:sz w:val="18"/>
                <w:szCs w:val="18"/>
              </w:rPr>
              <w:t>16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r>
              <w:rPr>
                <w:rFonts w:hint="eastAsia"/>
                <w:color w:val="FF0000"/>
                <w:sz w:val="18"/>
                <w:szCs w:val="18"/>
              </w:rPr>
              <w:t>　</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r>
              <w:rPr>
                <w:color w:val="000000"/>
                <w:sz w:val="18"/>
                <w:szCs w:val="18"/>
              </w:rPr>
              <w:t>2</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color w:val="FF0000"/>
                <w:sz w:val="18"/>
                <w:szCs w:val="18"/>
              </w:rPr>
            </w:pPr>
            <w:r>
              <w:rPr>
                <w:rFonts w:hint="eastAsia"/>
                <w:color w:val="000000"/>
                <w:sz w:val="22"/>
              </w:rPr>
              <w:t>　</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color w:val="000000"/>
                <w:sz w:val="22"/>
              </w:rPr>
              <w:t>　</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color w:val="FF0000"/>
                <w:sz w:val="12"/>
                <w:szCs w:val="12"/>
              </w:rPr>
            </w:pPr>
            <w:r>
              <w:rPr>
                <w:rFonts w:hint="eastAsia"/>
                <w:color w:val="FF0000"/>
                <w:sz w:val="12"/>
                <w:szCs w:val="12"/>
              </w:rPr>
              <w:t>　</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jc w:val="center"/>
              <w:rPr>
                <w:color w:val="FF0000"/>
                <w:sz w:val="22"/>
              </w:rPr>
            </w:pPr>
            <w:r>
              <w:rPr>
                <w:rFonts w:hint="eastAsia"/>
                <w:color w:val="FF0000"/>
                <w:sz w:val="22"/>
              </w:rPr>
              <w:t>　</w:t>
            </w:r>
          </w:p>
        </w:tc>
      </w:tr>
      <w:tr>
        <w:tblPrEx>
          <w:tblCellMar>
            <w:top w:w="0" w:type="dxa"/>
            <w:left w:w="0" w:type="dxa"/>
            <w:bottom w:w="0" w:type="dxa"/>
            <w:right w:w="0" w:type="dxa"/>
          </w:tblCellMar>
        </w:tblPrEx>
        <w:trPr>
          <w:trHeight w:val="280" w:hRule="atLeast"/>
        </w:trPr>
        <w:tc>
          <w:tcPr>
            <w:tcW w:w="976" w:type="dxa"/>
            <w:vMerge w:val="continue"/>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ascii="黑体" w:hAnsi="宋体" w:eastAsia="黑体" w:cs="黑体"/>
                <w:color w:val="000000"/>
                <w:sz w:val="18"/>
                <w:szCs w:val="18"/>
              </w:rPr>
            </w:pPr>
          </w:p>
        </w:tc>
        <w:tc>
          <w:tcPr>
            <w:tcW w:w="2920" w:type="dxa"/>
            <w:gridSpan w:val="2"/>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小计</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14</w:t>
            </w:r>
          </w:p>
        </w:tc>
        <w:tc>
          <w:tcPr>
            <w:tcW w:w="118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238</w:t>
            </w:r>
          </w:p>
        </w:tc>
        <w:tc>
          <w:tcPr>
            <w:tcW w:w="1432"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r>
              <w:rPr>
                <w:rFonts w:ascii="Calibri" w:hAnsi="Calibri" w:cs="Calibri"/>
                <w:b/>
                <w:bCs/>
                <w:color w:val="000000"/>
                <w:sz w:val="18"/>
                <w:szCs w:val="18"/>
              </w:rPr>
              <w:t>　</w:t>
            </w:r>
          </w:p>
        </w:tc>
        <w:tc>
          <w:tcPr>
            <w:tcW w:w="1304" w:type="dxa"/>
            <w:tcBorders>
              <w:top w:val="single" w:color="000000" w:sz="8" w:space="0"/>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126</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1</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4</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4</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2</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3</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ascii="Calibri" w:hAnsi="Calibri" w:cs="Calibri"/>
                <w:b/>
                <w:bCs/>
                <w:color w:val="000000"/>
                <w:sz w:val="18"/>
                <w:szCs w:val="18"/>
              </w:rPr>
              <w:t>0</w:t>
            </w:r>
          </w:p>
        </w:tc>
      </w:tr>
      <w:tr>
        <w:tblPrEx>
          <w:tblCellMar>
            <w:top w:w="0" w:type="dxa"/>
            <w:left w:w="0" w:type="dxa"/>
            <w:bottom w:w="0" w:type="dxa"/>
            <w:right w:w="0" w:type="dxa"/>
          </w:tblCellMar>
        </w:tblPrEx>
        <w:trPr>
          <w:trHeight w:val="280" w:hRule="atLeast"/>
        </w:trPr>
        <w:tc>
          <w:tcPr>
            <w:tcW w:w="3896" w:type="dxa"/>
            <w:gridSpan w:val="3"/>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黑体" w:hAnsi="宋体" w:eastAsia="黑体" w:cs="黑体"/>
                <w:b/>
                <w:sz w:val="18"/>
                <w:szCs w:val="18"/>
              </w:rPr>
            </w:pPr>
            <w:r>
              <w:rPr>
                <w:rFonts w:hint="eastAsia" w:ascii="黑体" w:hAnsi="宋体" w:eastAsia="黑体" w:cs="黑体"/>
                <w:b/>
                <w:kern w:val="0"/>
                <w:sz w:val="18"/>
                <w:szCs w:val="18"/>
                <w:lang w:bidi="ar"/>
              </w:rPr>
              <w:t>合计</w:t>
            </w:r>
          </w:p>
        </w:tc>
        <w:tc>
          <w:tcPr>
            <w:tcW w:w="8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148</w:t>
            </w:r>
          </w:p>
        </w:tc>
        <w:tc>
          <w:tcPr>
            <w:tcW w:w="118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2780</w:t>
            </w:r>
          </w:p>
        </w:tc>
        <w:tc>
          <w:tcPr>
            <w:tcW w:w="143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jc w:val="center"/>
              <w:rPr>
                <w:rFonts w:ascii="宋体" w:hAnsi="宋体" w:eastAsia="宋体" w:cs="宋体"/>
                <w:sz w:val="18"/>
                <w:szCs w:val="18"/>
              </w:rPr>
            </w:pPr>
            <w:r>
              <w:rPr>
                <w:rFonts w:ascii="Calibri" w:hAnsi="Calibri" w:cs="Calibri"/>
                <w:b/>
                <w:bCs/>
                <w:color w:val="000000"/>
                <w:sz w:val="18"/>
                <w:szCs w:val="18"/>
              </w:rPr>
              <w:t>　</w:t>
            </w:r>
          </w:p>
        </w:tc>
        <w:tc>
          <w:tcPr>
            <w:tcW w:w="130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1588</w:t>
            </w:r>
          </w:p>
        </w:tc>
        <w:tc>
          <w:tcPr>
            <w:tcW w:w="97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27</w:t>
            </w:r>
          </w:p>
        </w:tc>
        <w:tc>
          <w:tcPr>
            <w:tcW w:w="872"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28</w:t>
            </w:r>
          </w:p>
        </w:tc>
        <w:tc>
          <w:tcPr>
            <w:tcW w:w="864"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30.5</w:t>
            </w:r>
          </w:p>
        </w:tc>
        <w:tc>
          <w:tcPr>
            <w:tcW w:w="888"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28.5</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14</w:t>
            </w:r>
          </w:p>
        </w:tc>
        <w:tc>
          <w:tcPr>
            <w:tcW w:w="816" w:type="dxa"/>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sz w:val="18"/>
                <w:szCs w:val="18"/>
              </w:rPr>
            </w:pPr>
            <w:r>
              <w:rPr>
                <w:rFonts w:ascii="Calibri" w:hAnsi="Calibri" w:cs="Calibri"/>
                <w:b/>
                <w:bCs/>
                <w:color w:val="000000"/>
                <w:sz w:val="18"/>
                <w:szCs w:val="18"/>
              </w:rPr>
              <w:t>14</w:t>
            </w:r>
          </w:p>
        </w:tc>
      </w:tr>
    </w:tbl>
    <w:p>
      <w:pPr>
        <w:spacing w:line="600" w:lineRule="exact"/>
        <w:rPr>
          <w:rFonts w:ascii="宋体" w:hAnsi="宋体" w:cs="宋体"/>
          <w:color w:val="000000"/>
          <w:kern w:val="0"/>
          <w:sz w:val="18"/>
          <w:szCs w:val="18"/>
        </w:rPr>
        <w:sectPr>
          <w:type w:val="continuous"/>
          <w:pgSz w:w="16838" w:h="11906" w:orient="landscape"/>
          <w:pgMar w:top="1800" w:right="1440" w:bottom="1800" w:left="1440" w:header="851" w:footer="992" w:gutter="0"/>
          <w:cols w:space="720" w:num="1"/>
          <w:docGrid w:type="lines" w:linePitch="312" w:charSpace="0"/>
        </w:sectPr>
      </w:pPr>
    </w:p>
    <w:bookmarkEnd w:id="46"/>
    <w:p>
      <w:pPr>
        <w:pStyle w:val="3"/>
        <w:spacing w:before="156" w:beforeLines="50" w:after="156" w:afterLines="50" w:line="276" w:lineRule="auto"/>
        <w:rPr>
          <w:rFonts w:ascii="黑体" w:hAnsi="黑体"/>
          <w:b w:val="0"/>
          <w:bCs/>
          <w:sz w:val="24"/>
          <w:szCs w:val="24"/>
        </w:rPr>
      </w:pPr>
      <w:bookmarkStart w:id="47" w:name="_Toc10469506"/>
      <w:r>
        <w:rPr>
          <w:rFonts w:hint="eastAsia" w:ascii="黑体" w:hAnsi="黑体"/>
          <w:b w:val="0"/>
          <w:bCs/>
          <w:sz w:val="24"/>
          <w:szCs w:val="24"/>
        </w:rPr>
        <w:t>八、实施保障</w:t>
      </w:r>
      <w:bookmarkEnd w:id="47"/>
    </w:p>
    <w:p>
      <w:pPr>
        <w:spacing w:after="160" w:line="276" w:lineRule="auto"/>
        <w:rPr>
          <w:rFonts w:ascii="Times New Roman" w:hAnsi="Times New Roman" w:eastAsia="宋体" w:cs="Times New Roman"/>
          <w:sz w:val="24"/>
          <w:szCs w:val="24"/>
        </w:rPr>
      </w:pPr>
      <w:bookmarkStart w:id="48" w:name="_Toc378099431"/>
      <w:bookmarkStart w:id="49" w:name="_Toc377475444"/>
      <w:bookmarkStart w:id="50" w:name="_Toc378165569"/>
      <w:bookmarkStart w:id="51" w:name="_Toc10469507"/>
      <w:bookmarkStart w:id="52" w:name="_Toc252263440"/>
      <w:bookmarkStart w:id="53" w:name="_Toc378166644"/>
      <w:r>
        <w:rPr>
          <w:rFonts w:hint="eastAsia" w:ascii="Times New Roman" w:hAnsi="Times New Roman" w:eastAsia="宋体" w:cs="Times New Roman"/>
          <w:sz w:val="24"/>
          <w:szCs w:val="24"/>
        </w:rPr>
        <w:t>（一）师资队伍</w:t>
      </w:r>
      <w:bookmarkEnd w:id="48"/>
      <w:bookmarkEnd w:id="49"/>
      <w:bookmarkEnd w:id="50"/>
      <w:bookmarkEnd w:id="51"/>
      <w:bookmarkEnd w:id="52"/>
      <w:bookmarkEnd w:id="53"/>
    </w:p>
    <w:p>
      <w:pPr>
        <w:spacing w:after="160" w:line="276" w:lineRule="auto"/>
        <w:ind w:firstLine="420" w:firstLineChars="200"/>
        <w:rPr>
          <w:rFonts w:ascii="Times New Roman" w:hAnsi="Times New Roman" w:eastAsia="宋体" w:cs="Times New Roman"/>
          <w:szCs w:val="21"/>
        </w:rPr>
      </w:pPr>
      <w:bookmarkStart w:id="54" w:name="_Toc378165570"/>
      <w:bookmarkStart w:id="55" w:name="_Toc378099432"/>
      <w:bookmarkStart w:id="56" w:name="_Toc378166645"/>
      <w:bookmarkStart w:id="57" w:name="_Toc377475445"/>
      <w:bookmarkStart w:id="58" w:name="_Toc10469508"/>
      <w:r>
        <w:rPr>
          <w:rFonts w:hint="eastAsia" w:ascii="Times New Roman" w:hAnsi="Times New Roman" w:eastAsia="宋体" w:cs="Times New Roman"/>
          <w:szCs w:val="21"/>
        </w:rPr>
        <w:t>1．队伍结构</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学生数与本专业专任教师数比例不高于25：1，双师素质教师占专业教师比例一般不低于60%，专任教师队伍要考虑职称、年龄，形成合理的梯队结构。</w:t>
      </w:r>
    </w:p>
    <w:p>
      <w:pPr>
        <w:spacing w:after="160" w:line="276" w:lineRule="auto"/>
        <w:ind w:firstLine="420" w:firstLineChars="200"/>
        <w:rPr>
          <w:rFonts w:ascii="Times New Roman" w:hAnsi="Times New Roman" w:eastAsia="宋体" w:cs="Times New Roman"/>
          <w:szCs w:val="21"/>
        </w:rPr>
      </w:pPr>
      <w:bookmarkStart w:id="59" w:name="bookmark75"/>
      <w:bookmarkEnd w:id="59"/>
      <w:r>
        <w:rPr>
          <w:rFonts w:hint="eastAsia" w:ascii="Times New Roman" w:hAnsi="Times New Roman" w:eastAsia="宋体" w:cs="Times New Roman"/>
          <w:szCs w:val="21"/>
        </w:rPr>
        <w:t>2．专任教师</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专任教师应具有高校教师资格；有理想信念、有道德情操、有扎实学识、有仁爱之心； 具有计算机等相关专业本科及以上学历；具有扎实的本专业相关理论功底和实践能力；具有较强信息化教学能力，能够开展课程教学改革和科学研究；有每5年累计不少于6个月的企业实践经历。</w:t>
      </w:r>
    </w:p>
    <w:p>
      <w:pPr>
        <w:spacing w:after="160" w:line="276" w:lineRule="auto"/>
        <w:ind w:firstLine="420" w:firstLineChars="200"/>
        <w:rPr>
          <w:rFonts w:ascii="Times New Roman" w:hAnsi="Times New Roman" w:eastAsia="宋体" w:cs="Times New Roman"/>
          <w:szCs w:val="21"/>
        </w:rPr>
      </w:pPr>
      <w:bookmarkStart w:id="60" w:name="bookmark76"/>
      <w:bookmarkEnd w:id="60"/>
      <w:r>
        <w:rPr>
          <w:rFonts w:hint="eastAsia" w:ascii="Times New Roman" w:hAnsi="Times New Roman" w:eastAsia="宋体" w:cs="Times New Roman"/>
          <w:szCs w:val="21"/>
        </w:rPr>
        <w:t>3．专业带头人</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带头人原则上应具有副高及以上职称，能够较好地把握国内外信息安全行业、专业发展，能广泛联系行业企业，了解行业企业对本专业人才的实际需求，教学设计、专业研究能力强，组织开展教科研工作能力强，在本区域或本领域具有一定的专业影响力。</w:t>
      </w:r>
    </w:p>
    <w:p>
      <w:pPr>
        <w:spacing w:after="160" w:line="276" w:lineRule="auto"/>
        <w:ind w:firstLine="420" w:firstLineChars="200"/>
        <w:rPr>
          <w:rFonts w:ascii="Times New Roman" w:hAnsi="Times New Roman" w:eastAsia="宋体" w:cs="Times New Roman"/>
          <w:szCs w:val="21"/>
        </w:rPr>
      </w:pPr>
      <w:bookmarkStart w:id="61" w:name="bookmark77"/>
      <w:bookmarkEnd w:id="61"/>
      <w:r>
        <w:rPr>
          <w:rFonts w:hint="eastAsia" w:ascii="Times New Roman" w:hAnsi="Times New Roman" w:eastAsia="宋体" w:cs="Times New Roman"/>
          <w:szCs w:val="21"/>
        </w:rPr>
        <w:t>4．兼职教师</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兼职教师主要从本专业相关的行业企业聘任，具备良好的思想政治素质、职业道德和工 匠精神，具有扎实的专业知识和丰富的实际工作经验，具有中级及以上相关专业职称，能承担专业课程教学、实习实训指导和学生职业发展规划指导等教学任务。</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（二）</w:t>
      </w:r>
      <w:bookmarkEnd w:id="54"/>
      <w:bookmarkEnd w:id="55"/>
      <w:bookmarkEnd w:id="56"/>
      <w:bookmarkEnd w:id="57"/>
      <w:r>
        <w:rPr>
          <w:rFonts w:hint="eastAsia" w:ascii="Times New Roman" w:hAnsi="Times New Roman" w:eastAsia="宋体" w:cs="Times New Roman"/>
          <w:sz w:val="24"/>
          <w:szCs w:val="24"/>
        </w:rPr>
        <w:t>教学设施</w:t>
      </w:r>
      <w:bookmarkEnd w:id="58"/>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1．专业教室基本条件</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专业教室配备黑（白）板、多媒体计算机、投影设备、音响设备，互联网接入或 Wi-Fi环境，并实施网络安全防护措施；安装应急照明装置并保持良好状态，符合紧急疏散 要求，标志明显，保持逃生通道畅通无阻。</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2．校内实训室</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信息安全应用技术目前建有，计算机网络管理实训室、计算机网络互联实训室（Cisco设备）、计算机网络互联实训室（H3C设备）、无线网络安全管理实训室、综合布线实训室、虚拟安全综合实训室、攻防沙场演练实训室等七个专业实训室，工位数280个，能够承担包括日常教学、认证培训和社会服务等多种任务。校内实训室主要功能如表5所示。</w:t>
      </w:r>
    </w:p>
    <w:p>
      <w:pPr>
        <w:pStyle w:val="98"/>
        <w:spacing w:after="160" w:line="276" w:lineRule="auto"/>
        <w:ind w:firstLine="420"/>
        <w:jc w:val="center"/>
        <w:rPr>
          <w:rFonts w:ascii="仿宋" w:hAnsi="仿宋" w:eastAsia="PMingLiU" w:cs="Times New Roman"/>
          <w:b/>
          <w:bCs/>
          <w:color w:val="000000"/>
          <w:szCs w:val="21"/>
        </w:rPr>
      </w:pPr>
      <w:r>
        <w:rPr>
          <w:rFonts w:ascii="仿宋" w:hAnsi="仿宋" w:eastAsia="仿宋" w:cs="Times New Roman"/>
          <w:b/>
          <w:bCs/>
          <w:color w:val="000000"/>
          <w:szCs w:val="21"/>
        </w:rPr>
        <w:t xml:space="preserve"> </w:t>
      </w:r>
    </w:p>
    <w:p>
      <w:pPr>
        <w:pStyle w:val="98"/>
        <w:spacing w:after="160" w:line="276" w:lineRule="auto"/>
        <w:ind w:firstLine="0"/>
        <w:jc w:val="center"/>
        <w:rPr>
          <w:b/>
          <w:bCs/>
          <w:color w:val="000000"/>
        </w:rPr>
      </w:pPr>
      <w:r>
        <w:rPr>
          <w:rFonts w:hint="eastAsia"/>
          <w:b/>
          <w:bCs/>
          <w:color w:val="000000"/>
        </w:rPr>
        <w:t>表5 校内主要实训教学条件配置表</w:t>
      </w:r>
    </w:p>
    <w:p/>
    <w:tbl>
      <w:tblPr>
        <w:tblStyle w:val="3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5954"/>
        <w:gridCol w:w="10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blHeader/>
          <w:jc w:val="center"/>
        </w:trPr>
        <w:tc>
          <w:tcPr>
            <w:tcW w:w="1271" w:type="dxa"/>
            <w:shd w:val="clear" w:color="auto" w:fill="D0CECE"/>
            <w:vAlign w:val="center"/>
          </w:tcPr>
          <w:p>
            <w:pPr>
              <w:spacing w:line="276" w:lineRule="auto"/>
              <w:rPr>
                <w:rFonts w:ascii="宋体" w:hAnsi="宋体"/>
                <w:color w:val="000000"/>
                <w:sz w:val="18"/>
                <w:szCs w:val="18"/>
              </w:rPr>
            </w:pPr>
            <w:bookmarkStart w:id="62" w:name="_Toc10469509"/>
            <w:r>
              <w:rPr>
                <w:rFonts w:hint="eastAsia" w:ascii="宋体" w:hAnsi="宋体" w:eastAsia="宋体" w:cs="Times New Roman"/>
                <w:b/>
                <w:sz w:val="18"/>
                <w:szCs w:val="18"/>
              </w:rPr>
              <w:t>实训室名称</w:t>
            </w:r>
          </w:p>
        </w:tc>
        <w:tc>
          <w:tcPr>
            <w:tcW w:w="5954" w:type="dxa"/>
            <w:shd w:val="clear" w:color="auto" w:fill="D0CECE"/>
            <w:vAlign w:val="center"/>
          </w:tcPr>
          <w:p>
            <w:pPr>
              <w:spacing w:line="276" w:lineRule="auto"/>
              <w:rPr>
                <w:rFonts w:ascii="宋体" w:hAnsi="宋体"/>
                <w:color w:val="000000"/>
                <w:sz w:val="18"/>
                <w:szCs w:val="18"/>
              </w:rPr>
            </w:pPr>
            <w:r>
              <w:rPr>
                <w:rFonts w:ascii="宋体" w:hAnsi="宋体" w:eastAsia="宋体" w:cs="Times New Roman"/>
                <w:b/>
                <w:sz w:val="18"/>
                <w:szCs w:val="18"/>
              </w:rPr>
              <w:t>教学与训练</w:t>
            </w:r>
          </w:p>
        </w:tc>
        <w:tc>
          <w:tcPr>
            <w:tcW w:w="1071" w:type="dxa"/>
            <w:shd w:val="clear" w:color="auto" w:fill="D0CECE"/>
            <w:vAlign w:val="center"/>
          </w:tcPr>
          <w:p>
            <w:pPr>
              <w:spacing w:line="276" w:lineRule="auto"/>
              <w:rPr>
                <w:rFonts w:ascii="宋体" w:hAnsi="宋体"/>
                <w:color w:val="000000"/>
                <w:sz w:val="18"/>
                <w:szCs w:val="18"/>
              </w:rPr>
            </w:pPr>
            <w:r>
              <w:rPr>
                <w:rFonts w:hint="eastAsia" w:ascii="宋体" w:hAnsi="宋体" w:eastAsia="宋体" w:cs="Times New Roman"/>
                <w:b/>
                <w:sz w:val="18"/>
                <w:szCs w:val="18"/>
              </w:rPr>
              <w:t>工位数量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6"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计算机网络管理实训室</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网络系统的基础设置（域目录管理，WEB应用服务，DNS网络服务，DHCP网络服务）</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Linux系统配置（网络系统基础配置，web服务配置，DNS服务配置，DHCP服务系统配置）</w:t>
            </w:r>
          </w:p>
          <w:p>
            <w:pPr>
              <w:spacing w:line="276" w:lineRule="auto"/>
              <w:rPr>
                <w:rFonts w:ascii="宋体" w:hAnsi="宋体"/>
                <w:color w:val="000000"/>
                <w:sz w:val="18"/>
                <w:szCs w:val="18"/>
              </w:rPr>
            </w:pPr>
            <w:r>
              <w:rPr>
                <w:rFonts w:hint="eastAsia" w:ascii="宋体" w:hAnsi="宋体" w:eastAsia="宋体" w:cs="Times New Roman"/>
                <w:sz w:val="18"/>
                <w:szCs w:val="18"/>
              </w:rPr>
              <w:t>网页设计与制作、数据库安全管理、WEB应用开发、网站系统配置与维护实训</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计算机网络互联</w:t>
            </w:r>
            <w:r>
              <w:rPr>
                <w:rFonts w:ascii="宋体" w:hAnsi="宋体" w:eastAsia="宋体" w:cs="Times New Roman"/>
                <w:sz w:val="18"/>
                <w:szCs w:val="18"/>
              </w:rPr>
              <w:t>实训室</w:t>
            </w:r>
            <w:r>
              <w:rPr>
                <w:rFonts w:hint="eastAsia" w:ascii="宋体" w:hAnsi="宋体" w:eastAsia="宋体" w:cs="Times New Roman"/>
                <w:sz w:val="18"/>
                <w:szCs w:val="18"/>
              </w:rPr>
              <w:t>（Cisco设备）</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网络设备的安全接入配置（SSH、双因子认证，AAA本地和服务器认证）</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防火墙基本配置（接口、路由）、模块化的策略架构配置、透明模式配置、A/S配置、Failover配置、防火墙的SSL VPN配置</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在ISR产品上配置site-to-site VPN、MPLS VPN、GRE over IPSEC和DMVPN 等多种类型VPN功能</w:t>
            </w:r>
          </w:p>
          <w:p>
            <w:pPr>
              <w:spacing w:line="276" w:lineRule="auto"/>
              <w:rPr>
                <w:rFonts w:ascii="宋体" w:hAnsi="宋体"/>
                <w:color w:val="000000"/>
                <w:sz w:val="18"/>
                <w:szCs w:val="18"/>
              </w:rPr>
            </w:pPr>
            <w:r>
              <w:rPr>
                <w:rFonts w:hint="eastAsia" w:ascii="宋体" w:hAnsi="宋体" w:eastAsia="宋体" w:cs="Times New Roman"/>
                <w:sz w:val="18"/>
                <w:szCs w:val="18"/>
              </w:rPr>
              <w:t>在交换机设备上配置接口安全配置、实施802.1X协议配置</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计算机网络互联</w:t>
            </w:r>
            <w:r>
              <w:rPr>
                <w:rFonts w:ascii="宋体" w:hAnsi="宋体" w:eastAsia="宋体" w:cs="Times New Roman"/>
                <w:sz w:val="18"/>
                <w:szCs w:val="18"/>
              </w:rPr>
              <w:t>实训室</w:t>
            </w:r>
            <w:r>
              <w:rPr>
                <w:rFonts w:hint="eastAsia" w:ascii="宋体" w:hAnsi="宋体" w:eastAsia="宋体" w:cs="Times New Roman"/>
                <w:sz w:val="18"/>
                <w:szCs w:val="18"/>
              </w:rPr>
              <w:t>（H3C设备）</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网络设备的基础配置（接口，地址，网关，设备名称，设备基本信息）</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基础路由协议的配置（静态路由、RIP路由协议，ospf路由协议）</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配置交换机VLAN,生成树配置</w:t>
            </w:r>
          </w:p>
          <w:p>
            <w:pPr>
              <w:spacing w:line="276" w:lineRule="auto"/>
              <w:rPr>
                <w:rFonts w:ascii="宋体" w:hAnsi="宋体"/>
                <w:color w:val="000000"/>
                <w:sz w:val="18"/>
                <w:szCs w:val="18"/>
              </w:rPr>
            </w:pPr>
            <w:r>
              <w:rPr>
                <w:rFonts w:hint="eastAsia" w:ascii="宋体" w:hAnsi="宋体" w:eastAsia="宋体" w:cs="Times New Roman"/>
                <w:sz w:val="18"/>
                <w:szCs w:val="18"/>
              </w:rPr>
              <w:t>接口安全配置，802.1X协议配置</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无线网络安全管理实训室</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无线控制器配置（瘦AP、胖AP、无线加密协议分析与配置）</w:t>
            </w:r>
          </w:p>
          <w:p>
            <w:pPr>
              <w:spacing w:line="276" w:lineRule="auto"/>
              <w:rPr>
                <w:rFonts w:ascii="宋体" w:hAnsi="宋体"/>
                <w:color w:val="000000"/>
                <w:sz w:val="18"/>
                <w:szCs w:val="18"/>
              </w:rPr>
            </w:pPr>
            <w:r>
              <w:rPr>
                <w:rFonts w:ascii="宋体" w:hAnsi="宋体" w:eastAsia="宋体" w:cs="Times New Roman"/>
                <w:sz w:val="18"/>
                <w:szCs w:val="18"/>
              </w:rPr>
              <w:t>W</w:t>
            </w:r>
            <w:r>
              <w:rPr>
                <w:rFonts w:hint="eastAsia" w:ascii="宋体" w:hAnsi="宋体" w:eastAsia="宋体" w:cs="Times New Roman"/>
                <w:sz w:val="18"/>
                <w:szCs w:val="18"/>
              </w:rPr>
              <w:t>indows与linux系统渗透、Windows与linux系统加固、网络系统检测、加密算法、内容隐藏、暴力（字典）破解、PKI体系、证书服务器的搭建</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综合布线实训室</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ascii="宋体" w:hAnsi="宋体" w:eastAsia="宋体" w:cs="Times New Roman"/>
                <w:sz w:val="18"/>
                <w:szCs w:val="18"/>
              </w:rPr>
              <w:t>各种电缆、光纤测试分析，对新安装的布线系统和网络系统进行验收认证测试</w:t>
            </w:r>
          </w:p>
          <w:p>
            <w:pPr>
              <w:snapToGrid w:val="0"/>
              <w:spacing w:after="160" w:line="276" w:lineRule="auto"/>
              <w:ind w:firstLine="360"/>
              <w:rPr>
                <w:rFonts w:ascii="宋体" w:hAnsi="宋体" w:eastAsia="宋体" w:cs="Times New Roman"/>
                <w:sz w:val="18"/>
                <w:szCs w:val="18"/>
              </w:rPr>
            </w:pPr>
            <w:r>
              <w:rPr>
                <w:rFonts w:ascii="宋体" w:hAnsi="宋体" w:eastAsia="宋体" w:cs="Times New Roman"/>
                <w:sz w:val="18"/>
                <w:szCs w:val="18"/>
              </w:rPr>
              <w:t>光纤、光缆尾纤连接方法训练</w:t>
            </w:r>
          </w:p>
          <w:p>
            <w:pPr>
              <w:spacing w:line="276" w:lineRule="auto"/>
              <w:rPr>
                <w:rFonts w:ascii="宋体" w:hAnsi="宋体"/>
                <w:color w:val="000000"/>
                <w:sz w:val="18"/>
                <w:szCs w:val="18"/>
              </w:rPr>
            </w:pPr>
            <w:r>
              <w:rPr>
                <w:rFonts w:hint="eastAsia" w:ascii="宋体" w:hAnsi="宋体" w:eastAsia="宋体" w:cs="Times New Roman"/>
                <w:sz w:val="18"/>
                <w:szCs w:val="18"/>
              </w:rPr>
              <w:t>各种管线的安装、布线训练</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软</w:t>
            </w:r>
            <w:r>
              <w:rPr>
                <w:rFonts w:ascii="宋体" w:hAnsi="宋体" w:eastAsia="宋体" w:cs="Times New Roman"/>
                <w:sz w:val="18"/>
                <w:szCs w:val="18"/>
              </w:rPr>
              <w:t>件</w:t>
            </w:r>
            <w:r>
              <w:rPr>
                <w:rFonts w:hint="eastAsia" w:ascii="宋体" w:hAnsi="宋体" w:eastAsia="宋体" w:cs="Times New Roman"/>
                <w:sz w:val="18"/>
                <w:szCs w:val="18"/>
              </w:rPr>
              <w:t>安全实训室</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WEB服务安全：WEB常见安全漏洞检测，漏洞利用方法，漏洞防御措施，代码安全审计</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移动安全：漏洞成因分析（权限控制不当、组件保护不当、数据在传输和存储过程中泄漏、WebView组件安全、源代码保护等），安卓组件安全，敏感数据存储与传输安全，APP源代码混淆与加固</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渗透测试：信息收集、存活主机扫描、端口扫描、服务识别、目标主机操作系统平台识别、漏洞利用工具使用、漏洞攻击、维护访问控制</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12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攻防实训室</w:t>
            </w:r>
          </w:p>
        </w:tc>
        <w:tc>
          <w:tcPr>
            <w:tcW w:w="5954" w:type="dxa"/>
            <w:shd w:val="clear" w:color="auto" w:fill="auto"/>
            <w:vAlign w:val="center"/>
          </w:tcPr>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信息安全竞赛系统</w:t>
            </w:r>
          </w:p>
          <w:p>
            <w:pPr>
              <w:snapToGrid w:val="0"/>
              <w:spacing w:after="160" w:line="276" w:lineRule="auto"/>
              <w:ind w:firstLine="360"/>
              <w:rPr>
                <w:rFonts w:ascii="宋体" w:hAnsi="宋体" w:eastAsia="宋体" w:cs="Times New Roman"/>
                <w:sz w:val="18"/>
                <w:szCs w:val="18"/>
              </w:rPr>
            </w:pPr>
            <w:r>
              <w:rPr>
                <w:rFonts w:hint="eastAsia" w:ascii="宋体" w:hAnsi="宋体" w:eastAsia="宋体" w:cs="Times New Roman"/>
                <w:sz w:val="18"/>
                <w:szCs w:val="18"/>
              </w:rPr>
              <w:t>信息安全攻防演练系统</w:t>
            </w:r>
          </w:p>
          <w:p>
            <w:pPr>
              <w:spacing w:line="276" w:lineRule="auto"/>
              <w:ind w:firstLine="360" w:firstLineChars="200"/>
              <w:rPr>
                <w:rFonts w:ascii="宋体" w:hAnsi="宋体"/>
                <w:color w:val="000000"/>
                <w:sz w:val="18"/>
                <w:szCs w:val="18"/>
              </w:rPr>
            </w:pPr>
            <w:r>
              <w:rPr>
                <w:rFonts w:hint="eastAsia" w:ascii="宋体" w:hAnsi="宋体" w:eastAsia="宋体" w:cs="Times New Roman"/>
                <w:sz w:val="18"/>
                <w:szCs w:val="18"/>
              </w:rPr>
              <w:t>信息安全展示系统</w:t>
            </w:r>
          </w:p>
        </w:tc>
        <w:tc>
          <w:tcPr>
            <w:tcW w:w="1071" w:type="dxa"/>
            <w:shd w:val="clear" w:color="auto" w:fill="auto"/>
            <w:vAlign w:val="center"/>
          </w:tcPr>
          <w:p>
            <w:pPr>
              <w:spacing w:line="276" w:lineRule="auto"/>
              <w:rPr>
                <w:rFonts w:ascii="宋体" w:hAnsi="宋体"/>
                <w:color w:val="000000"/>
                <w:sz w:val="18"/>
                <w:szCs w:val="18"/>
              </w:rPr>
            </w:pPr>
            <w:r>
              <w:rPr>
                <w:rFonts w:hint="eastAsia" w:ascii="宋体" w:hAnsi="宋体" w:eastAsia="宋体" w:cs="Times New Roman"/>
                <w:sz w:val="18"/>
                <w:szCs w:val="18"/>
              </w:rPr>
              <w:t>40</w:t>
            </w:r>
          </w:p>
        </w:tc>
      </w:tr>
    </w:tbl>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3、校外实训基地基本要求</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校外实训基地基本要求为：具有稳定的校外实训基地；实训设施齐备，实训岗位、实训 指导教师确定，实训管理及实施规章制度齐全；能够接纳一定规模的学生开展网络安全应急响应等有关实训。</w:t>
      </w:r>
    </w:p>
    <w:p>
      <w:pPr>
        <w:spacing w:after="160" w:line="276" w:lineRule="auto"/>
        <w:ind w:firstLine="420" w:firstLineChars="200"/>
        <w:rPr>
          <w:rFonts w:ascii="Times New Roman" w:hAnsi="Times New Roman" w:eastAsia="宋体" w:cs="Times New Roman"/>
          <w:szCs w:val="21"/>
        </w:rPr>
      </w:pPr>
      <w:bookmarkStart w:id="63" w:name="bookmark86"/>
      <w:bookmarkEnd w:id="63"/>
      <w:r>
        <w:rPr>
          <w:rFonts w:hint="eastAsia" w:ascii="Times New Roman" w:hAnsi="Times New Roman" w:eastAsia="宋体" w:cs="Times New Roman"/>
          <w:szCs w:val="21"/>
        </w:rPr>
        <w:t>4．学生实习基地基本要求</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学生实习基地基本要求为：具有稳定的校外实习基地；能提供日常网络安全检测、渗透测试和安全运维、信息系统安全测评、信息系统安全规划实施、信息系统安全运维管理等工作，能涵盖当前相关产业发展的主流技术，可接纳一定规模的学生实习；能够配备相应数量的指导教师对学生实习进行指导和管理；有保证实习生日常工作、学习、生活的规章制度，有安全、保险保障。</w:t>
      </w:r>
    </w:p>
    <w:p>
      <w:pPr>
        <w:spacing w:after="160" w:line="276"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（三）教学资源</w:t>
      </w:r>
      <w:bookmarkEnd w:id="62"/>
    </w:p>
    <w:p>
      <w:pPr>
        <w:spacing w:after="160" w:line="276" w:lineRule="auto"/>
        <w:ind w:firstLine="420" w:firstLineChars="200"/>
        <w:rPr>
          <w:rFonts w:ascii="Times New Roman" w:hAnsi="Times New Roman" w:eastAsia="宋体" w:cs="Times New Roman"/>
          <w:szCs w:val="21"/>
        </w:rPr>
      </w:pPr>
      <w:bookmarkStart w:id="64" w:name="_Toc377475449"/>
      <w:bookmarkStart w:id="65" w:name="_Toc378165574"/>
      <w:r>
        <w:rPr>
          <w:rFonts w:hint="eastAsia" w:ascii="Times New Roman" w:hAnsi="Times New Roman" w:eastAsia="宋体" w:cs="Times New Roman"/>
          <w:szCs w:val="21"/>
        </w:rPr>
        <w:t>1.教材和讲义选用</w:t>
      </w:r>
      <w:bookmarkEnd w:id="64"/>
      <w:bookmarkEnd w:id="65"/>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(1)教材和讲义优先选用自编校本教材，自编校本教材不仅是高职院校教材的补充</w:t>
      </w:r>
      <w:r>
        <w:rPr>
          <w:rFonts w:ascii="Times New Roman" w:hAnsi="Times New Roman" w:eastAsia="宋体" w:cs="Times New Roman"/>
          <w:szCs w:val="21"/>
        </w:rPr>
        <w:t>,</w:t>
      </w:r>
      <w:r>
        <w:rPr>
          <w:rFonts w:hint="eastAsia" w:ascii="Times New Roman" w:hAnsi="Times New Roman" w:eastAsia="宋体" w:cs="Times New Roman"/>
          <w:szCs w:val="21"/>
        </w:rPr>
        <w:t>还是高职院校自身教学特色的一种体现，本专业已拥有一定数量特色鲜明、有较高水平的自编校本教材及讲义。</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(2)除自编校本教材外，还可选用反映计算机网络技术最新发展水平、特色鲜明，并能够满足高等职业教育培养目标要求的规划教材，并尽量选用近三年出版的高职高专教材。</w:t>
      </w:r>
    </w:p>
    <w:p>
      <w:pPr>
        <w:spacing w:after="160" w:line="276" w:lineRule="auto"/>
        <w:ind w:firstLine="420" w:firstLineChars="200"/>
        <w:rPr>
          <w:rFonts w:ascii="Times New Roman" w:hAnsi="Times New Roman" w:eastAsia="宋体" w:cs="Times New Roman"/>
          <w:szCs w:val="21"/>
        </w:rPr>
      </w:pPr>
      <w:bookmarkStart w:id="66" w:name="_Toc377475450"/>
      <w:bookmarkStart w:id="67" w:name="_Toc378165575"/>
      <w:r>
        <w:rPr>
          <w:rFonts w:hint="eastAsia" w:ascii="Times New Roman" w:hAnsi="Times New Roman" w:eastAsia="宋体" w:cs="Times New Roman"/>
          <w:szCs w:val="21"/>
        </w:rPr>
        <w:t>2.数字化（网络）教学资源</w:t>
      </w:r>
      <w:bookmarkEnd w:id="66"/>
      <w:bookmarkEnd w:id="67"/>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(1)专业信息库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专业信息库包括专业概况、对接的产业概况、专业建设、人才培养、质量评估、建设成果。</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(2)课程资源</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课程资源包括课程简介、课程标准、教学设计（整体设计、单元设计、项目设计）、说课录像、授课录像、素材资源（电子教材、电子课件、参考资料、习题试题库、任务单、项目指导书、学生作品等）。</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(3)教学案例库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包括：课程案例、项目案例、学生作品。</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(4)专业工具库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专业工具库包括专业知识动画资源库、专业设备组件库、专业图片库、工具使用手册库、项目工程视频库、音频库。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(5)培训资源库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培训资源库包括行业企业证书和培训、师资培训、职业资格培训、学生竞赛培训、社会服务与对外交流。</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(6)行企资源库</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行企资源库包括行业概况、技术前沿、行业相关岗位描述、合作企业信息及企业真实案例、政策法规、标准规范。</w:t>
      </w:r>
    </w:p>
    <w:p>
      <w:pPr>
        <w:spacing w:after="160" w:line="276" w:lineRule="auto"/>
        <w:rPr>
          <w:rFonts w:ascii="Times New Roman" w:hAnsi="Times New Roman" w:eastAsia="宋体" w:cs="Times New Roman"/>
          <w:sz w:val="24"/>
          <w:szCs w:val="24"/>
        </w:rPr>
      </w:pPr>
      <w:bookmarkStart w:id="68" w:name="_Toc10469510"/>
      <w:r>
        <w:rPr>
          <w:rFonts w:hint="eastAsia" w:ascii="Times New Roman" w:hAnsi="Times New Roman" w:eastAsia="宋体" w:cs="Times New Roman"/>
          <w:sz w:val="24"/>
          <w:szCs w:val="24"/>
        </w:rPr>
        <w:t>（四）教学方法</w:t>
      </w:r>
      <w:bookmarkEnd w:id="68"/>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教师采用“任务驱动”教学方法，进行“任务引领式”教学，让学生通过执行完整的任务来锻炼综合职业能力，改变教师本位观念，让学生充分发挥主观能动性。各任务的完成通过“案例展示、任务分析、知识讲解、操作示范、课堂模仿、课后实践、问题解析、归纳总结”等步骤进行。</w:t>
      </w:r>
    </w:p>
    <w:p>
      <w:pPr>
        <w:spacing w:after="160" w:line="276" w:lineRule="auto"/>
        <w:rPr>
          <w:rFonts w:ascii="Times New Roman" w:hAnsi="Times New Roman" w:eastAsia="宋体" w:cs="Times New Roman"/>
          <w:sz w:val="24"/>
          <w:szCs w:val="24"/>
        </w:rPr>
      </w:pPr>
      <w:bookmarkStart w:id="69" w:name="_Toc10469511"/>
      <w:r>
        <w:rPr>
          <w:rFonts w:hint="eastAsia" w:ascii="Times New Roman" w:hAnsi="Times New Roman" w:eastAsia="宋体" w:cs="Times New Roman"/>
          <w:sz w:val="24"/>
          <w:szCs w:val="24"/>
        </w:rPr>
        <w:t>（五）学习评价</w:t>
      </w:r>
      <w:bookmarkEnd w:id="69"/>
    </w:p>
    <w:p>
      <w:pPr>
        <w:spacing w:after="160" w:line="276" w:lineRule="auto"/>
        <w:ind w:firstLine="420" w:firstLineChars="200"/>
        <w:rPr>
          <w:rFonts w:ascii="Times New Roman" w:hAnsi="Times New Roman" w:eastAsia="宋体" w:cs="Times New Roman"/>
          <w:szCs w:val="21"/>
        </w:rPr>
      </w:pPr>
      <w:bookmarkStart w:id="70" w:name="_Toc378165387"/>
      <w:r>
        <w:rPr>
          <w:rFonts w:hint="eastAsia" w:ascii="Times New Roman" w:hAnsi="Times New Roman" w:eastAsia="宋体" w:cs="Times New Roman"/>
          <w:szCs w:val="21"/>
        </w:rPr>
        <w:t>通过对课程教学评价体系改革，突出能力考核，引入企业参与学生考核评价，建立多元化的课程考核评价体系，实现专业技能和岗位技能的综合素质评价。</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建立“知识</w:t>
      </w:r>
      <w:r>
        <w:rPr>
          <w:rFonts w:ascii="Times New Roman" w:hAnsi="Times New Roman" w:eastAsia="宋体" w:cs="Times New Roman"/>
          <w:szCs w:val="21"/>
        </w:rPr>
        <w:t>+</w:t>
      </w:r>
      <w:r>
        <w:rPr>
          <w:rFonts w:hint="eastAsia" w:ascii="Times New Roman" w:hAnsi="Times New Roman" w:eastAsia="宋体" w:cs="Times New Roman"/>
          <w:szCs w:val="21"/>
        </w:rPr>
        <w:t>技能</w:t>
      </w:r>
      <w:r>
        <w:rPr>
          <w:rFonts w:ascii="Times New Roman" w:hAnsi="Times New Roman" w:eastAsia="宋体" w:cs="Times New Roman"/>
          <w:szCs w:val="21"/>
        </w:rPr>
        <w:t>+</w:t>
      </w:r>
      <w:r>
        <w:rPr>
          <w:rFonts w:hint="eastAsia" w:ascii="Times New Roman" w:hAnsi="Times New Roman" w:eastAsia="宋体" w:cs="Times New Roman"/>
          <w:szCs w:val="21"/>
        </w:rPr>
        <w:t>实践”的教学评价体系；以过程考核为主体，突出专业核心能力和学生综合素质的考核评价；注重课程评价与职业资格鉴定的衔接；建立多元评价机制，加强行业、企业和社会评价。</w:t>
      </w:r>
      <w:bookmarkEnd w:id="70"/>
      <w:r>
        <w:rPr>
          <w:rFonts w:hint="eastAsia" w:ascii="Times New Roman" w:hAnsi="Times New Roman" w:eastAsia="宋体" w:cs="Times New Roman"/>
          <w:szCs w:val="21"/>
        </w:rPr>
        <w:t>评价体系包括理论考核、项目过程考核、职业资格认证、行业认证、技能竞赛等多种考核方式。课程考核可以选用以下一种或多种方式：</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．建立“知识</w:t>
      </w:r>
      <w:r>
        <w:rPr>
          <w:rFonts w:ascii="Times New Roman" w:hAnsi="Times New Roman" w:eastAsia="宋体" w:cs="Times New Roman"/>
          <w:szCs w:val="21"/>
        </w:rPr>
        <w:t>+</w:t>
      </w:r>
      <w:r>
        <w:rPr>
          <w:rFonts w:hint="eastAsia" w:ascii="Times New Roman" w:hAnsi="Times New Roman" w:eastAsia="宋体" w:cs="Times New Roman"/>
          <w:szCs w:val="21"/>
        </w:rPr>
        <w:t>技能</w:t>
      </w:r>
      <w:r>
        <w:rPr>
          <w:rFonts w:ascii="Times New Roman" w:hAnsi="Times New Roman" w:eastAsia="宋体" w:cs="Times New Roman"/>
          <w:szCs w:val="21"/>
        </w:rPr>
        <w:t>+</w:t>
      </w:r>
      <w:r>
        <w:rPr>
          <w:rFonts w:hint="eastAsia" w:ascii="Times New Roman" w:hAnsi="Times New Roman" w:eastAsia="宋体" w:cs="Times New Roman"/>
          <w:szCs w:val="21"/>
        </w:rPr>
        <w:t>实践”的教学评价内容体系，突出项目成果评价。</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．以过程考核为主体，突出专业核心能力和学生综合素质的考核评价。</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．注重课程评价与职业资格鉴定的衔接。</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．建立多元评价机制，加强行业、企业和社会评价。</w:t>
      </w:r>
    </w:p>
    <w:p>
      <w:pPr>
        <w:spacing w:after="160" w:line="276" w:lineRule="auto"/>
        <w:rPr>
          <w:rFonts w:ascii="Times New Roman" w:hAnsi="Times New Roman" w:eastAsia="宋体" w:cs="Times New Roman"/>
          <w:sz w:val="24"/>
          <w:szCs w:val="24"/>
        </w:rPr>
      </w:pPr>
      <w:bookmarkStart w:id="71" w:name="_Toc10469512"/>
      <w:r>
        <w:rPr>
          <w:rFonts w:hint="eastAsia" w:ascii="Times New Roman" w:hAnsi="Times New Roman" w:eastAsia="宋体" w:cs="Times New Roman"/>
          <w:sz w:val="24"/>
          <w:szCs w:val="24"/>
        </w:rPr>
        <w:t>（六）质量管理</w:t>
      </w:r>
      <w:bookmarkEnd w:id="71"/>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为确保人才培养质量，学院建立质量监控体系。质量监控包括人才培养目标监控、人才培养方案和教学大纲监控、教学过程监控、学生信息反馈、教材质量监控。</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．人才培养目标监控。通过行企业调研和评估，及时跟踪人才培养效果，不断完善人才培养模式，确保专业人才培养目标适应社会发展需要。</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．人才培养方案和教学大纲制订与执行监控。人才培养方案和教学大纲是组织和实施人才培养工作的核心教学文件，也是开展教学工作和对教学工作监控与评估的主要依据。</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．教学过程监控。主要通过听课、教学检查、教学督导、学生评教、教师评学、考试等实现监控目的。</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．学生信息反馈。建立学生教学信息员制度，定期召开院系两级学生座谈会。</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．教材质量监控。学院建立教材招标工作组，采用教材三级审核制：教研室申报、教学单位审核、教务处审定。</w:t>
      </w:r>
    </w:p>
    <w:p>
      <w:pPr>
        <w:pStyle w:val="3"/>
        <w:spacing w:before="156" w:beforeLines="50" w:after="156" w:afterLines="50" w:line="276" w:lineRule="auto"/>
        <w:rPr>
          <w:rFonts w:ascii="黑体" w:hAnsi="黑体"/>
          <w:b w:val="0"/>
          <w:bCs/>
          <w:sz w:val="24"/>
          <w:szCs w:val="24"/>
        </w:rPr>
      </w:pPr>
      <w:bookmarkStart w:id="72" w:name="_Toc10469513"/>
      <w:r>
        <w:rPr>
          <w:rFonts w:hint="eastAsia" w:ascii="黑体" w:hAnsi="黑体"/>
          <w:b w:val="0"/>
          <w:bCs/>
          <w:sz w:val="24"/>
          <w:szCs w:val="24"/>
        </w:rPr>
        <w:t>九、毕业要求</w:t>
      </w:r>
      <w:bookmarkEnd w:id="72"/>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学生通过规定年限的学习，修满人才培养方案规定的全部学分，并取得与专业相关的职业技能等级证书，准予毕业。与本专业对接的可供选择的职业技能等级证书见表6所示。</w:t>
      </w:r>
    </w:p>
    <w:p>
      <w:pPr>
        <w:spacing w:after="160" w:line="276" w:lineRule="auto"/>
        <w:jc w:val="center"/>
        <w:rPr>
          <w:rFonts w:ascii="Times New Roman" w:hAnsi="Times New Roman" w:eastAsia="宋体" w:cs="Times New Roman"/>
          <w:b/>
          <w:bCs/>
          <w:color w:val="000000"/>
          <w:szCs w:val="24"/>
        </w:rPr>
      </w:pPr>
      <w:r>
        <w:rPr>
          <w:rFonts w:hint="eastAsia" w:ascii="Times New Roman" w:hAnsi="Times New Roman" w:eastAsia="宋体" w:cs="Times New Roman"/>
          <w:b/>
          <w:bCs/>
          <w:color w:val="000000"/>
          <w:szCs w:val="24"/>
        </w:rPr>
        <w:t>表6职业技能等级证书一览表</w:t>
      </w:r>
    </w:p>
    <w:tbl>
      <w:tblPr>
        <w:tblStyle w:val="34"/>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887"/>
        <w:gridCol w:w="2810"/>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序号</w:t>
            </w:r>
          </w:p>
        </w:tc>
        <w:tc>
          <w:tcPr>
            <w:tcW w:w="2887"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职业</w:t>
            </w:r>
            <w:r>
              <w:rPr>
                <w:rFonts w:hint="eastAsia" w:ascii="宋体" w:hAnsi="宋体" w:eastAsia="宋体" w:cs="Times New Roman"/>
                <w:sz w:val="18"/>
                <w:szCs w:val="18"/>
              </w:rPr>
              <w:t>技能等级</w:t>
            </w:r>
            <w:r>
              <w:rPr>
                <w:rFonts w:ascii="宋体" w:hAnsi="宋体" w:eastAsia="宋体" w:cs="Times New Roman"/>
                <w:sz w:val="18"/>
                <w:szCs w:val="18"/>
              </w:rPr>
              <w:t>证书名称</w:t>
            </w:r>
          </w:p>
        </w:tc>
        <w:tc>
          <w:tcPr>
            <w:tcW w:w="281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颁证单位</w:t>
            </w:r>
          </w:p>
        </w:tc>
        <w:tc>
          <w:tcPr>
            <w:tcW w:w="1206"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1</w:t>
            </w:r>
          </w:p>
        </w:tc>
        <w:tc>
          <w:tcPr>
            <w:tcW w:w="2887"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网络安全应急响应（1+X中级）</w:t>
            </w:r>
          </w:p>
        </w:tc>
        <w:tc>
          <w:tcPr>
            <w:tcW w:w="281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奇安信科技集团股份有限公司</w:t>
            </w:r>
          </w:p>
        </w:tc>
        <w:tc>
          <w:tcPr>
            <w:tcW w:w="1206"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ascii="宋体" w:hAnsi="宋体" w:eastAsia="宋体" w:cs="Times New Roman"/>
                <w:sz w:val="18"/>
                <w:szCs w:val="18"/>
              </w:rPr>
              <w:t>2</w:t>
            </w:r>
          </w:p>
        </w:tc>
        <w:tc>
          <w:tcPr>
            <w:tcW w:w="2887"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华为HC</w:t>
            </w:r>
            <w:r>
              <w:rPr>
                <w:rFonts w:ascii="宋体" w:hAnsi="宋体" w:eastAsia="宋体" w:cs="Times New Roman"/>
                <w:sz w:val="18"/>
                <w:szCs w:val="18"/>
              </w:rPr>
              <w:t>I</w:t>
            </w:r>
            <w:r>
              <w:rPr>
                <w:rFonts w:hint="eastAsia" w:ascii="宋体" w:hAnsi="宋体" w:eastAsia="宋体" w:cs="Times New Roman"/>
                <w:sz w:val="18"/>
                <w:szCs w:val="18"/>
              </w:rPr>
              <w:t>A-安全（A级）</w:t>
            </w:r>
          </w:p>
        </w:tc>
        <w:tc>
          <w:tcPr>
            <w:tcW w:w="281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华为技术有限公司</w:t>
            </w:r>
          </w:p>
        </w:tc>
        <w:tc>
          <w:tcPr>
            <w:tcW w:w="1206" w:type="dxa"/>
            <w:vMerge w:val="restart"/>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选</w:t>
            </w:r>
            <w:r>
              <w:rPr>
                <w:rFonts w:ascii="宋体" w:hAnsi="宋体" w:eastAsia="宋体" w:cs="Times New Roman"/>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3</w:t>
            </w:r>
          </w:p>
        </w:tc>
        <w:tc>
          <w:tcPr>
            <w:tcW w:w="2887"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红帽认证工程师（RHCE）</w:t>
            </w:r>
          </w:p>
        </w:tc>
        <w:tc>
          <w:tcPr>
            <w:tcW w:w="281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红帽l</w:t>
            </w:r>
            <w:r>
              <w:rPr>
                <w:rFonts w:ascii="宋体" w:hAnsi="宋体" w:eastAsia="宋体" w:cs="Times New Roman"/>
                <w:sz w:val="18"/>
                <w:szCs w:val="18"/>
              </w:rPr>
              <w:t>inux</w:t>
            </w:r>
            <w:r>
              <w:rPr>
                <w:rFonts w:hint="eastAsia" w:ascii="宋体" w:hAnsi="宋体" w:eastAsia="宋体" w:cs="Times New Roman"/>
                <w:sz w:val="18"/>
                <w:szCs w:val="18"/>
              </w:rPr>
              <w:t>公司</w:t>
            </w:r>
          </w:p>
        </w:tc>
        <w:tc>
          <w:tcPr>
            <w:tcW w:w="1206" w:type="dxa"/>
            <w:vMerge w:val="continue"/>
            <w:vAlign w:val="center"/>
          </w:tcPr>
          <w:p>
            <w:pPr>
              <w:spacing w:after="160" w:line="276" w:lineRule="auto"/>
              <w:rPr>
                <w:rFonts w:ascii="宋体" w:hAnsi="宋体"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4</w:t>
            </w:r>
          </w:p>
        </w:tc>
        <w:tc>
          <w:tcPr>
            <w:tcW w:w="2887"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CISP-PTE渗透测试工程师</w:t>
            </w:r>
          </w:p>
        </w:tc>
        <w:tc>
          <w:tcPr>
            <w:tcW w:w="2810" w:type="dxa"/>
            <w:vAlign w:val="center"/>
          </w:tcPr>
          <w:p>
            <w:pPr>
              <w:spacing w:after="160" w:line="276" w:lineRule="auto"/>
              <w:rPr>
                <w:rFonts w:ascii="宋体" w:hAnsi="宋体" w:eastAsia="宋体" w:cs="Times New Roman"/>
                <w:sz w:val="18"/>
                <w:szCs w:val="18"/>
              </w:rPr>
            </w:pPr>
            <w:r>
              <w:rPr>
                <w:rFonts w:hint="eastAsia" w:ascii="宋体" w:hAnsi="宋体" w:eastAsia="宋体" w:cs="Times New Roman"/>
                <w:sz w:val="18"/>
                <w:szCs w:val="18"/>
              </w:rPr>
              <w:t>中国信息安全测评中心</w:t>
            </w:r>
          </w:p>
        </w:tc>
        <w:tc>
          <w:tcPr>
            <w:tcW w:w="1206" w:type="dxa"/>
            <w:vMerge w:val="continue"/>
            <w:vAlign w:val="center"/>
          </w:tcPr>
          <w:p>
            <w:pPr>
              <w:spacing w:after="160" w:line="276" w:lineRule="auto"/>
              <w:rPr>
                <w:rFonts w:ascii="宋体" w:hAnsi="宋体" w:eastAsia="宋体" w:cs="Times New Roman"/>
                <w:sz w:val="18"/>
                <w:szCs w:val="18"/>
              </w:rPr>
            </w:pPr>
          </w:p>
        </w:tc>
      </w:tr>
    </w:tbl>
    <w:p>
      <w:pPr>
        <w:spacing w:after="160" w:line="276" w:lineRule="auto"/>
        <w:rPr>
          <w:rFonts w:ascii="宋体" w:hAnsi="宋体" w:eastAsia="宋体" w:cs="Times New Roman"/>
          <w:sz w:val="18"/>
          <w:szCs w:val="18"/>
        </w:rPr>
      </w:pPr>
    </w:p>
    <w:p>
      <w:pPr>
        <w:widowControl/>
        <w:jc w:val="left"/>
        <w:rPr>
          <w:rFonts w:ascii="宋体" w:hAnsi="宋体"/>
        </w:rPr>
      </w:pPr>
      <w:bookmarkStart w:id="73" w:name="_GoBack"/>
      <w:bookmarkEnd w:id="73"/>
    </w:p>
    <w:sectPr>
      <w:headerReference r:id="rId5" w:type="firs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center"/>
    </w:pPr>
    <w:r>
      <w:rPr>
        <w:lang w:val="zh-CN"/>
      </w:rPr>
      <w:fldChar w:fldCharType="begin"/>
    </w:r>
    <w:r>
      <w:instrText xml:space="preserve"> PAGE </w:instrText>
    </w:r>
    <w:r>
      <w:fldChar w:fldCharType="separate"/>
    </w:r>
    <w:r>
      <w:t>38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ind w:firstLine="360"/>
      <w:rPr>
        <w:rStyle w:val="38"/>
      </w:rPr>
    </w:pPr>
    <w:r>
      <w:fldChar w:fldCharType="begin"/>
    </w:r>
    <w:r>
      <w:rPr>
        <w:rStyle w:val="38"/>
      </w:rPr>
      <w:instrText xml:space="preserve">PAGE  </w:instrText>
    </w:r>
    <w:r>
      <w:fldChar w:fldCharType="end"/>
    </w:r>
  </w:p>
  <w:p>
    <w:pPr>
      <w:pStyle w:val="1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52207F"/>
    <w:multiLevelType w:val="multilevel"/>
    <w:tmpl w:val="5B52207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904CA0"/>
    <w:rsid w:val="00001488"/>
    <w:rsid w:val="00001785"/>
    <w:rsid w:val="00002199"/>
    <w:rsid w:val="00005F96"/>
    <w:rsid w:val="00010B82"/>
    <w:rsid w:val="00011985"/>
    <w:rsid w:val="00021B22"/>
    <w:rsid w:val="00021F25"/>
    <w:rsid w:val="000239BD"/>
    <w:rsid w:val="000252C4"/>
    <w:rsid w:val="0003383B"/>
    <w:rsid w:val="00035BE4"/>
    <w:rsid w:val="00036D9F"/>
    <w:rsid w:val="00040304"/>
    <w:rsid w:val="00046F6F"/>
    <w:rsid w:val="00051D76"/>
    <w:rsid w:val="00057E33"/>
    <w:rsid w:val="00067598"/>
    <w:rsid w:val="000747E9"/>
    <w:rsid w:val="00074C65"/>
    <w:rsid w:val="00076AD2"/>
    <w:rsid w:val="00082635"/>
    <w:rsid w:val="000869C6"/>
    <w:rsid w:val="000870C5"/>
    <w:rsid w:val="000904A8"/>
    <w:rsid w:val="00093D88"/>
    <w:rsid w:val="000A19C8"/>
    <w:rsid w:val="000A2B94"/>
    <w:rsid w:val="000A675B"/>
    <w:rsid w:val="000B42EA"/>
    <w:rsid w:val="000C58B0"/>
    <w:rsid w:val="000D467D"/>
    <w:rsid w:val="000F01F7"/>
    <w:rsid w:val="000F022C"/>
    <w:rsid w:val="00100429"/>
    <w:rsid w:val="001108CB"/>
    <w:rsid w:val="00116C28"/>
    <w:rsid w:val="00120B20"/>
    <w:rsid w:val="00121D84"/>
    <w:rsid w:val="00131792"/>
    <w:rsid w:val="00154F88"/>
    <w:rsid w:val="001623BB"/>
    <w:rsid w:val="0016574E"/>
    <w:rsid w:val="00175CD4"/>
    <w:rsid w:val="00180EE5"/>
    <w:rsid w:val="00181478"/>
    <w:rsid w:val="00181481"/>
    <w:rsid w:val="001815C0"/>
    <w:rsid w:val="00186B00"/>
    <w:rsid w:val="00195F5D"/>
    <w:rsid w:val="001B1019"/>
    <w:rsid w:val="001B50DB"/>
    <w:rsid w:val="001B5957"/>
    <w:rsid w:val="001C2964"/>
    <w:rsid w:val="001F3358"/>
    <w:rsid w:val="001F38E4"/>
    <w:rsid w:val="00201223"/>
    <w:rsid w:val="0020591B"/>
    <w:rsid w:val="00212BC6"/>
    <w:rsid w:val="00214055"/>
    <w:rsid w:val="002246FB"/>
    <w:rsid w:val="0024431C"/>
    <w:rsid w:val="0025466A"/>
    <w:rsid w:val="00272E19"/>
    <w:rsid w:val="00284CD9"/>
    <w:rsid w:val="00297B6B"/>
    <w:rsid w:val="002A044C"/>
    <w:rsid w:val="002A25DC"/>
    <w:rsid w:val="002A6423"/>
    <w:rsid w:val="002B2BED"/>
    <w:rsid w:val="002C0036"/>
    <w:rsid w:val="002C1C55"/>
    <w:rsid w:val="002C442A"/>
    <w:rsid w:val="002C7E96"/>
    <w:rsid w:val="002E353C"/>
    <w:rsid w:val="002E779E"/>
    <w:rsid w:val="002F268C"/>
    <w:rsid w:val="00310C01"/>
    <w:rsid w:val="00331851"/>
    <w:rsid w:val="00343FA7"/>
    <w:rsid w:val="0035002E"/>
    <w:rsid w:val="00363E49"/>
    <w:rsid w:val="00365344"/>
    <w:rsid w:val="00370791"/>
    <w:rsid w:val="003719A1"/>
    <w:rsid w:val="003740CE"/>
    <w:rsid w:val="0037719A"/>
    <w:rsid w:val="00381725"/>
    <w:rsid w:val="0038587C"/>
    <w:rsid w:val="00386FD5"/>
    <w:rsid w:val="003965A4"/>
    <w:rsid w:val="003A5701"/>
    <w:rsid w:val="003A61FF"/>
    <w:rsid w:val="003B7155"/>
    <w:rsid w:val="003C50BE"/>
    <w:rsid w:val="003C5F45"/>
    <w:rsid w:val="003C7097"/>
    <w:rsid w:val="003D3905"/>
    <w:rsid w:val="003D4AFB"/>
    <w:rsid w:val="003D558F"/>
    <w:rsid w:val="003E51DA"/>
    <w:rsid w:val="003E7726"/>
    <w:rsid w:val="00403B1C"/>
    <w:rsid w:val="0041316F"/>
    <w:rsid w:val="00426C11"/>
    <w:rsid w:val="00437D4A"/>
    <w:rsid w:val="004407F0"/>
    <w:rsid w:val="00441258"/>
    <w:rsid w:val="00467E6D"/>
    <w:rsid w:val="00492031"/>
    <w:rsid w:val="00497816"/>
    <w:rsid w:val="004A1974"/>
    <w:rsid w:val="004B3153"/>
    <w:rsid w:val="004B761A"/>
    <w:rsid w:val="004C2CAD"/>
    <w:rsid w:val="004C41B3"/>
    <w:rsid w:val="004C577C"/>
    <w:rsid w:val="004C7624"/>
    <w:rsid w:val="004D7351"/>
    <w:rsid w:val="004E0994"/>
    <w:rsid w:val="004E37FB"/>
    <w:rsid w:val="004E3EFD"/>
    <w:rsid w:val="004E4A94"/>
    <w:rsid w:val="004F3A54"/>
    <w:rsid w:val="005000A7"/>
    <w:rsid w:val="00507BBD"/>
    <w:rsid w:val="00511593"/>
    <w:rsid w:val="005122EC"/>
    <w:rsid w:val="0051730D"/>
    <w:rsid w:val="0051754D"/>
    <w:rsid w:val="00526D5A"/>
    <w:rsid w:val="005316A6"/>
    <w:rsid w:val="0055400E"/>
    <w:rsid w:val="00555A1D"/>
    <w:rsid w:val="00566509"/>
    <w:rsid w:val="00575C37"/>
    <w:rsid w:val="005A0461"/>
    <w:rsid w:val="005A45A1"/>
    <w:rsid w:val="005B3578"/>
    <w:rsid w:val="005C2D3B"/>
    <w:rsid w:val="005C3CC4"/>
    <w:rsid w:val="005E3472"/>
    <w:rsid w:val="005E6346"/>
    <w:rsid w:val="005F4DB0"/>
    <w:rsid w:val="00600664"/>
    <w:rsid w:val="006027DE"/>
    <w:rsid w:val="00620E11"/>
    <w:rsid w:val="0062248A"/>
    <w:rsid w:val="006244AE"/>
    <w:rsid w:val="006247D2"/>
    <w:rsid w:val="006324A6"/>
    <w:rsid w:val="00634A1A"/>
    <w:rsid w:val="00643C8B"/>
    <w:rsid w:val="00645F61"/>
    <w:rsid w:val="006504C7"/>
    <w:rsid w:val="006506F5"/>
    <w:rsid w:val="00654CB6"/>
    <w:rsid w:val="00662D5C"/>
    <w:rsid w:val="006646FC"/>
    <w:rsid w:val="00667549"/>
    <w:rsid w:val="00680E29"/>
    <w:rsid w:val="0068602F"/>
    <w:rsid w:val="0068622B"/>
    <w:rsid w:val="00690D60"/>
    <w:rsid w:val="006A0835"/>
    <w:rsid w:val="006B415D"/>
    <w:rsid w:val="006C0837"/>
    <w:rsid w:val="006C1CED"/>
    <w:rsid w:val="006C281E"/>
    <w:rsid w:val="006C57BE"/>
    <w:rsid w:val="006E0ED6"/>
    <w:rsid w:val="006E26D4"/>
    <w:rsid w:val="006F2402"/>
    <w:rsid w:val="006F4534"/>
    <w:rsid w:val="007003F0"/>
    <w:rsid w:val="00701A78"/>
    <w:rsid w:val="00706657"/>
    <w:rsid w:val="007163D4"/>
    <w:rsid w:val="007363AB"/>
    <w:rsid w:val="0074179D"/>
    <w:rsid w:val="00744862"/>
    <w:rsid w:val="0076018E"/>
    <w:rsid w:val="00771109"/>
    <w:rsid w:val="0078163D"/>
    <w:rsid w:val="00782EFE"/>
    <w:rsid w:val="0078486C"/>
    <w:rsid w:val="00785C92"/>
    <w:rsid w:val="00793084"/>
    <w:rsid w:val="007944C2"/>
    <w:rsid w:val="00794D95"/>
    <w:rsid w:val="00795F70"/>
    <w:rsid w:val="007A0982"/>
    <w:rsid w:val="007C2899"/>
    <w:rsid w:val="007C2A3F"/>
    <w:rsid w:val="007C688F"/>
    <w:rsid w:val="007D5257"/>
    <w:rsid w:val="007D5711"/>
    <w:rsid w:val="007D5B84"/>
    <w:rsid w:val="007E4783"/>
    <w:rsid w:val="007E4948"/>
    <w:rsid w:val="007F101A"/>
    <w:rsid w:val="00802FA7"/>
    <w:rsid w:val="00807080"/>
    <w:rsid w:val="008073F4"/>
    <w:rsid w:val="00807538"/>
    <w:rsid w:val="00813165"/>
    <w:rsid w:val="008148C2"/>
    <w:rsid w:val="00824405"/>
    <w:rsid w:val="00830DE2"/>
    <w:rsid w:val="00831503"/>
    <w:rsid w:val="00833739"/>
    <w:rsid w:val="00836C29"/>
    <w:rsid w:val="00855970"/>
    <w:rsid w:val="008568B8"/>
    <w:rsid w:val="00861180"/>
    <w:rsid w:val="0086497E"/>
    <w:rsid w:val="00865EE8"/>
    <w:rsid w:val="00867644"/>
    <w:rsid w:val="00867701"/>
    <w:rsid w:val="0086778B"/>
    <w:rsid w:val="00871ABA"/>
    <w:rsid w:val="00885845"/>
    <w:rsid w:val="008913AC"/>
    <w:rsid w:val="00896E63"/>
    <w:rsid w:val="008A4B3E"/>
    <w:rsid w:val="008B7523"/>
    <w:rsid w:val="008C10E7"/>
    <w:rsid w:val="008C2624"/>
    <w:rsid w:val="008C47A2"/>
    <w:rsid w:val="008C5793"/>
    <w:rsid w:val="008D3CB9"/>
    <w:rsid w:val="008E6D27"/>
    <w:rsid w:val="008E7842"/>
    <w:rsid w:val="009024E9"/>
    <w:rsid w:val="00904CA0"/>
    <w:rsid w:val="009066C5"/>
    <w:rsid w:val="009071DF"/>
    <w:rsid w:val="00907595"/>
    <w:rsid w:val="00907E09"/>
    <w:rsid w:val="00911769"/>
    <w:rsid w:val="00912B73"/>
    <w:rsid w:val="00913EAB"/>
    <w:rsid w:val="009202DB"/>
    <w:rsid w:val="009324DE"/>
    <w:rsid w:val="009353BD"/>
    <w:rsid w:val="00937E84"/>
    <w:rsid w:val="009427AB"/>
    <w:rsid w:val="00943D89"/>
    <w:rsid w:val="00944077"/>
    <w:rsid w:val="00963435"/>
    <w:rsid w:val="009638C3"/>
    <w:rsid w:val="00970663"/>
    <w:rsid w:val="00971C93"/>
    <w:rsid w:val="00974BA7"/>
    <w:rsid w:val="00980A0B"/>
    <w:rsid w:val="009825EA"/>
    <w:rsid w:val="0099483F"/>
    <w:rsid w:val="009A077B"/>
    <w:rsid w:val="009A6E04"/>
    <w:rsid w:val="009B0C51"/>
    <w:rsid w:val="009B1985"/>
    <w:rsid w:val="009B1C0D"/>
    <w:rsid w:val="009B315A"/>
    <w:rsid w:val="009C223C"/>
    <w:rsid w:val="009C58C2"/>
    <w:rsid w:val="009F1EB0"/>
    <w:rsid w:val="009F46D2"/>
    <w:rsid w:val="009F59FE"/>
    <w:rsid w:val="009F61F2"/>
    <w:rsid w:val="00A044DA"/>
    <w:rsid w:val="00A06975"/>
    <w:rsid w:val="00A211CE"/>
    <w:rsid w:val="00A40B6C"/>
    <w:rsid w:val="00A54EE0"/>
    <w:rsid w:val="00A64272"/>
    <w:rsid w:val="00A66A8D"/>
    <w:rsid w:val="00A66C17"/>
    <w:rsid w:val="00A67FD2"/>
    <w:rsid w:val="00A72491"/>
    <w:rsid w:val="00A76442"/>
    <w:rsid w:val="00A76AD9"/>
    <w:rsid w:val="00A86010"/>
    <w:rsid w:val="00A92380"/>
    <w:rsid w:val="00AA0D74"/>
    <w:rsid w:val="00AB23F4"/>
    <w:rsid w:val="00AB32B1"/>
    <w:rsid w:val="00AB455F"/>
    <w:rsid w:val="00AC0D6C"/>
    <w:rsid w:val="00AC2E11"/>
    <w:rsid w:val="00AC3E47"/>
    <w:rsid w:val="00AC4030"/>
    <w:rsid w:val="00AD0C5A"/>
    <w:rsid w:val="00AD3039"/>
    <w:rsid w:val="00AE0A11"/>
    <w:rsid w:val="00AE1F8B"/>
    <w:rsid w:val="00AE6529"/>
    <w:rsid w:val="00AE7071"/>
    <w:rsid w:val="00AE7CE4"/>
    <w:rsid w:val="00B00134"/>
    <w:rsid w:val="00B10BEA"/>
    <w:rsid w:val="00B23830"/>
    <w:rsid w:val="00B31F22"/>
    <w:rsid w:val="00B36E91"/>
    <w:rsid w:val="00B43551"/>
    <w:rsid w:val="00B4624D"/>
    <w:rsid w:val="00B46EFD"/>
    <w:rsid w:val="00B52210"/>
    <w:rsid w:val="00B6551E"/>
    <w:rsid w:val="00B72A07"/>
    <w:rsid w:val="00B743F3"/>
    <w:rsid w:val="00B806B6"/>
    <w:rsid w:val="00B82270"/>
    <w:rsid w:val="00B83868"/>
    <w:rsid w:val="00B84516"/>
    <w:rsid w:val="00B8765C"/>
    <w:rsid w:val="00B9678D"/>
    <w:rsid w:val="00B97B45"/>
    <w:rsid w:val="00BB0EFF"/>
    <w:rsid w:val="00BB16BE"/>
    <w:rsid w:val="00BB1BED"/>
    <w:rsid w:val="00BB2AFB"/>
    <w:rsid w:val="00BC0795"/>
    <w:rsid w:val="00BC1782"/>
    <w:rsid w:val="00BD0DA8"/>
    <w:rsid w:val="00BD63B0"/>
    <w:rsid w:val="00BE088A"/>
    <w:rsid w:val="00BF0377"/>
    <w:rsid w:val="00BF753D"/>
    <w:rsid w:val="00C03915"/>
    <w:rsid w:val="00C03D60"/>
    <w:rsid w:val="00C0405D"/>
    <w:rsid w:val="00C06731"/>
    <w:rsid w:val="00C20C8C"/>
    <w:rsid w:val="00C26398"/>
    <w:rsid w:val="00C31971"/>
    <w:rsid w:val="00C321C5"/>
    <w:rsid w:val="00C40674"/>
    <w:rsid w:val="00C42EB2"/>
    <w:rsid w:val="00C5602A"/>
    <w:rsid w:val="00C65F30"/>
    <w:rsid w:val="00C66EA9"/>
    <w:rsid w:val="00C74F8B"/>
    <w:rsid w:val="00C82208"/>
    <w:rsid w:val="00C906D9"/>
    <w:rsid w:val="00C926B5"/>
    <w:rsid w:val="00CA5179"/>
    <w:rsid w:val="00CC46F9"/>
    <w:rsid w:val="00CC4E29"/>
    <w:rsid w:val="00CC6B1A"/>
    <w:rsid w:val="00CC6F11"/>
    <w:rsid w:val="00CD0C91"/>
    <w:rsid w:val="00CD35EF"/>
    <w:rsid w:val="00CD5F9E"/>
    <w:rsid w:val="00CE2277"/>
    <w:rsid w:val="00D036AE"/>
    <w:rsid w:val="00D10623"/>
    <w:rsid w:val="00D32B70"/>
    <w:rsid w:val="00D336ED"/>
    <w:rsid w:val="00D33F9F"/>
    <w:rsid w:val="00D37603"/>
    <w:rsid w:val="00D42F71"/>
    <w:rsid w:val="00D70CC3"/>
    <w:rsid w:val="00D70E34"/>
    <w:rsid w:val="00D72CAA"/>
    <w:rsid w:val="00D80395"/>
    <w:rsid w:val="00D9137F"/>
    <w:rsid w:val="00D92AC1"/>
    <w:rsid w:val="00D932C8"/>
    <w:rsid w:val="00DA412D"/>
    <w:rsid w:val="00DA560E"/>
    <w:rsid w:val="00DB2B8A"/>
    <w:rsid w:val="00DB56B7"/>
    <w:rsid w:val="00DB5F64"/>
    <w:rsid w:val="00DC102A"/>
    <w:rsid w:val="00DC4123"/>
    <w:rsid w:val="00DC7077"/>
    <w:rsid w:val="00DC7F38"/>
    <w:rsid w:val="00DD5F50"/>
    <w:rsid w:val="00DE2F72"/>
    <w:rsid w:val="00DE3526"/>
    <w:rsid w:val="00DE38E4"/>
    <w:rsid w:val="00DF7A1C"/>
    <w:rsid w:val="00E02912"/>
    <w:rsid w:val="00E05336"/>
    <w:rsid w:val="00E136E4"/>
    <w:rsid w:val="00E178F0"/>
    <w:rsid w:val="00E17CCE"/>
    <w:rsid w:val="00E24C74"/>
    <w:rsid w:val="00E6003D"/>
    <w:rsid w:val="00E64CC5"/>
    <w:rsid w:val="00E67090"/>
    <w:rsid w:val="00E71E7D"/>
    <w:rsid w:val="00E730C9"/>
    <w:rsid w:val="00E7366C"/>
    <w:rsid w:val="00E76B72"/>
    <w:rsid w:val="00E83A81"/>
    <w:rsid w:val="00E86615"/>
    <w:rsid w:val="00EA7BDB"/>
    <w:rsid w:val="00EB0719"/>
    <w:rsid w:val="00EB371E"/>
    <w:rsid w:val="00EB3AB2"/>
    <w:rsid w:val="00EC7E07"/>
    <w:rsid w:val="00ED0BD9"/>
    <w:rsid w:val="00EF5E71"/>
    <w:rsid w:val="00F00AFE"/>
    <w:rsid w:val="00F02EB2"/>
    <w:rsid w:val="00F13B3B"/>
    <w:rsid w:val="00F15F0F"/>
    <w:rsid w:val="00F27C1F"/>
    <w:rsid w:val="00F37A78"/>
    <w:rsid w:val="00F40877"/>
    <w:rsid w:val="00F436A9"/>
    <w:rsid w:val="00F47EE3"/>
    <w:rsid w:val="00F52C75"/>
    <w:rsid w:val="00F6366D"/>
    <w:rsid w:val="00F70255"/>
    <w:rsid w:val="00F738EC"/>
    <w:rsid w:val="00F8021D"/>
    <w:rsid w:val="00F8262D"/>
    <w:rsid w:val="00F82DC9"/>
    <w:rsid w:val="00F84BBA"/>
    <w:rsid w:val="00F86FD4"/>
    <w:rsid w:val="00F929D4"/>
    <w:rsid w:val="00FA3542"/>
    <w:rsid w:val="00FA400E"/>
    <w:rsid w:val="00FA4C4F"/>
    <w:rsid w:val="00FA58D7"/>
    <w:rsid w:val="00FB1212"/>
    <w:rsid w:val="00FB27F9"/>
    <w:rsid w:val="00FB6601"/>
    <w:rsid w:val="00FC26D4"/>
    <w:rsid w:val="00FD4530"/>
    <w:rsid w:val="00FD5901"/>
    <w:rsid w:val="00FE0505"/>
    <w:rsid w:val="00FE572D"/>
    <w:rsid w:val="00FF0F1C"/>
    <w:rsid w:val="00FF3959"/>
    <w:rsid w:val="03FC7BFF"/>
    <w:rsid w:val="05FA7C1D"/>
    <w:rsid w:val="070067E7"/>
    <w:rsid w:val="07A534D1"/>
    <w:rsid w:val="0CEC10A1"/>
    <w:rsid w:val="0E1C5BE6"/>
    <w:rsid w:val="108B5E7D"/>
    <w:rsid w:val="12930036"/>
    <w:rsid w:val="1A99154E"/>
    <w:rsid w:val="201518BC"/>
    <w:rsid w:val="22106D8F"/>
    <w:rsid w:val="24EE0CCE"/>
    <w:rsid w:val="25673D93"/>
    <w:rsid w:val="2A1408A0"/>
    <w:rsid w:val="2ACD5437"/>
    <w:rsid w:val="2CEB77B2"/>
    <w:rsid w:val="2CF87832"/>
    <w:rsid w:val="32003546"/>
    <w:rsid w:val="345860BB"/>
    <w:rsid w:val="359A33D6"/>
    <w:rsid w:val="36197AB5"/>
    <w:rsid w:val="39B97F9B"/>
    <w:rsid w:val="3CA26EA9"/>
    <w:rsid w:val="3E0C41E5"/>
    <w:rsid w:val="3ED70450"/>
    <w:rsid w:val="409E392F"/>
    <w:rsid w:val="42980833"/>
    <w:rsid w:val="460C6218"/>
    <w:rsid w:val="47393890"/>
    <w:rsid w:val="48E95E90"/>
    <w:rsid w:val="48FE68E8"/>
    <w:rsid w:val="4919160F"/>
    <w:rsid w:val="50736639"/>
    <w:rsid w:val="50843607"/>
    <w:rsid w:val="541133DA"/>
    <w:rsid w:val="565C55D0"/>
    <w:rsid w:val="59900B94"/>
    <w:rsid w:val="5C584FB6"/>
    <w:rsid w:val="5DA41CBF"/>
    <w:rsid w:val="610E1EDF"/>
    <w:rsid w:val="62E807AA"/>
    <w:rsid w:val="635E5DA1"/>
    <w:rsid w:val="65B17FB1"/>
    <w:rsid w:val="65E03D97"/>
    <w:rsid w:val="67290181"/>
    <w:rsid w:val="67D93DC5"/>
    <w:rsid w:val="67DA001A"/>
    <w:rsid w:val="692351D1"/>
    <w:rsid w:val="6B585883"/>
    <w:rsid w:val="6BAD3A75"/>
    <w:rsid w:val="6E307C85"/>
    <w:rsid w:val="6E3B7BD7"/>
    <w:rsid w:val="6F167006"/>
    <w:rsid w:val="72D97CA6"/>
    <w:rsid w:val="7374631F"/>
    <w:rsid w:val="755974AD"/>
    <w:rsid w:val="763E632F"/>
    <w:rsid w:val="78F87D4E"/>
    <w:rsid w:val="7AE41164"/>
    <w:rsid w:val="7C81672E"/>
    <w:rsid w:val="7CC52D84"/>
    <w:rsid w:val="7DD649C9"/>
    <w:rsid w:val="7ECD475A"/>
    <w:rsid w:val="7FD36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link w:val="46"/>
    <w:qFormat/>
    <w:uiPriority w:val="99"/>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47"/>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48"/>
    <w:semiHidden/>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Calibri" w:hAnsi="Calibri" w:eastAsia="宋体" w:cs="Times New Roman"/>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59"/>
    <w:semiHidden/>
    <w:qFormat/>
    <w:uiPriority w:val="99"/>
    <w:pPr>
      <w:shd w:val="clear" w:color="auto" w:fill="000080"/>
    </w:pPr>
    <w:rPr>
      <w:szCs w:val="24"/>
    </w:rPr>
  </w:style>
  <w:style w:type="paragraph" w:styleId="9">
    <w:name w:val="annotation text"/>
    <w:basedOn w:val="1"/>
    <w:link w:val="54"/>
    <w:semiHidden/>
    <w:qFormat/>
    <w:uiPriority w:val="99"/>
    <w:pPr>
      <w:jc w:val="left"/>
    </w:pPr>
    <w:rPr>
      <w:rFonts w:ascii="Times New Roman" w:hAnsi="Times New Roman" w:eastAsia="宋体" w:cs="Times New Roman"/>
      <w:szCs w:val="24"/>
    </w:rPr>
  </w:style>
  <w:style w:type="paragraph" w:styleId="10">
    <w:name w:val="Body Text"/>
    <w:basedOn w:val="1"/>
    <w:link w:val="64"/>
    <w:qFormat/>
    <w:uiPriority w:val="99"/>
    <w:pPr>
      <w:spacing w:after="120"/>
    </w:pPr>
    <w:rPr>
      <w:rFonts w:ascii="Times New Roman" w:hAnsi="Times New Roman" w:eastAsia="宋体" w:cs="Times New Roman"/>
      <w:szCs w:val="20"/>
    </w:rPr>
  </w:style>
  <w:style w:type="paragraph" w:styleId="11">
    <w:name w:val="Body Text Indent"/>
    <w:basedOn w:val="1"/>
    <w:link w:val="67"/>
    <w:qFormat/>
    <w:uiPriority w:val="0"/>
    <w:pPr>
      <w:ind w:firstLine="640"/>
    </w:pPr>
    <w:rPr>
      <w:rFonts w:ascii="Times New Roman" w:hAnsi="Times New Roman" w:eastAsia="宋体" w:cs="Times New Roman"/>
      <w:sz w:val="32"/>
      <w:szCs w:val="24"/>
    </w:rPr>
  </w:style>
  <w:style w:type="paragraph" w:styleId="12">
    <w:name w:val="toc 5"/>
    <w:basedOn w:val="1"/>
    <w:next w:val="1"/>
    <w:unhideWhenUsed/>
    <w:qFormat/>
    <w:uiPriority w:val="39"/>
    <w:pPr>
      <w:ind w:left="1680" w:leftChars="800"/>
    </w:pPr>
    <w:rPr>
      <w:rFonts w:ascii="Calibri" w:hAnsi="Calibri" w:eastAsia="宋体" w:cs="Times New Roman"/>
    </w:rPr>
  </w:style>
  <w:style w:type="paragraph" w:styleId="13">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rPr>
  </w:style>
  <w:style w:type="paragraph" w:styleId="14">
    <w:name w:val="Plain Text"/>
    <w:basedOn w:val="1"/>
    <w:link w:val="77"/>
    <w:qFormat/>
    <w:uiPriority w:val="0"/>
    <w:rPr>
      <w:rFonts w:ascii="宋体" w:hAnsi="Courier New" w:cs="Courier New"/>
      <w:szCs w:val="21"/>
    </w:rPr>
  </w:style>
  <w:style w:type="paragraph" w:styleId="15">
    <w:name w:val="toc 8"/>
    <w:basedOn w:val="1"/>
    <w:next w:val="1"/>
    <w:unhideWhenUsed/>
    <w:qFormat/>
    <w:uiPriority w:val="39"/>
    <w:pPr>
      <w:ind w:left="2940" w:leftChars="1400"/>
    </w:pPr>
    <w:rPr>
      <w:rFonts w:ascii="Calibri" w:hAnsi="Calibri" w:eastAsia="宋体" w:cs="Times New Roman"/>
    </w:rPr>
  </w:style>
  <w:style w:type="paragraph" w:styleId="16">
    <w:name w:val="Date"/>
    <w:basedOn w:val="1"/>
    <w:next w:val="1"/>
    <w:link w:val="56"/>
    <w:qFormat/>
    <w:uiPriority w:val="0"/>
    <w:pPr>
      <w:ind w:left="100" w:leftChars="2500"/>
    </w:pPr>
    <w:rPr>
      <w:szCs w:val="24"/>
    </w:rPr>
  </w:style>
  <w:style w:type="paragraph" w:styleId="17">
    <w:name w:val="Body Text Indent 2"/>
    <w:basedOn w:val="1"/>
    <w:link w:val="71"/>
    <w:qFormat/>
    <w:uiPriority w:val="0"/>
    <w:pPr>
      <w:spacing w:line="288" w:lineRule="auto"/>
      <w:ind w:firstLine="435"/>
    </w:pPr>
    <w:rPr>
      <w:sz w:val="24"/>
      <w:szCs w:val="24"/>
    </w:rPr>
  </w:style>
  <w:style w:type="paragraph" w:styleId="18">
    <w:name w:val="Balloon Text"/>
    <w:basedOn w:val="1"/>
    <w:link w:val="52"/>
    <w:semiHidden/>
    <w:unhideWhenUsed/>
    <w:qFormat/>
    <w:uiPriority w:val="99"/>
    <w:rPr>
      <w:rFonts w:ascii="Times New Roman" w:hAnsi="Times New Roman" w:eastAsia="宋体" w:cs="Times New Roman"/>
      <w:sz w:val="18"/>
      <w:szCs w:val="18"/>
    </w:rPr>
  </w:style>
  <w:style w:type="paragraph" w:styleId="19">
    <w:name w:val="footer"/>
    <w:basedOn w:val="1"/>
    <w:link w:val="44"/>
    <w:unhideWhenUsed/>
    <w:qFormat/>
    <w:uiPriority w:val="99"/>
    <w:pPr>
      <w:tabs>
        <w:tab w:val="center" w:pos="4153"/>
        <w:tab w:val="right" w:pos="8306"/>
      </w:tabs>
      <w:snapToGrid w:val="0"/>
      <w:jc w:val="left"/>
    </w:pPr>
    <w:rPr>
      <w:sz w:val="18"/>
      <w:szCs w:val="18"/>
    </w:rPr>
  </w:style>
  <w:style w:type="paragraph" w:styleId="20">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rFonts w:ascii="Times New Roman" w:hAnsi="Times New Roman" w:eastAsia="宋体" w:cs="Times New Roman"/>
      <w:sz w:val="28"/>
      <w:szCs w:val="20"/>
    </w:rPr>
  </w:style>
  <w:style w:type="paragraph" w:styleId="22">
    <w:name w:val="toc 4"/>
    <w:basedOn w:val="1"/>
    <w:next w:val="1"/>
    <w:unhideWhenUsed/>
    <w:qFormat/>
    <w:uiPriority w:val="39"/>
    <w:pPr>
      <w:ind w:left="1260" w:leftChars="600"/>
    </w:pPr>
    <w:rPr>
      <w:rFonts w:ascii="Calibri" w:hAnsi="Calibri" w:eastAsia="宋体" w:cs="Times New Roman"/>
    </w:rPr>
  </w:style>
  <w:style w:type="paragraph" w:styleId="23">
    <w:name w:val="Subtitle"/>
    <w:basedOn w:val="1"/>
    <w:next w:val="1"/>
    <w:link w:val="61"/>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24">
    <w:name w:val="footnote text"/>
    <w:basedOn w:val="1"/>
    <w:link w:val="80"/>
    <w:unhideWhenUsed/>
    <w:qFormat/>
    <w:uiPriority w:val="99"/>
    <w:pPr>
      <w:snapToGrid w:val="0"/>
      <w:jc w:val="left"/>
    </w:pPr>
    <w:rPr>
      <w:rFonts w:ascii="Times New Roman" w:hAnsi="Times New Roman" w:eastAsia="宋体" w:cs="Times New Roman"/>
      <w:sz w:val="18"/>
      <w:szCs w:val="18"/>
    </w:rPr>
  </w:style>
  <w:style w:type="paragraph" w:styleId="25">
    <w:name w:val="toc 6"/>
    <w:basedOn w:val="1"/>
    <w:next w:val="1"/>
    <w:unhideWhenUsed/>
    <w:qFormat/>
    <w:uiPriority w:val="39"/>
    <w:pPr>
      <w:ind w:left="2100" w:leftChars="1000"/>
    </w:pPr>
    <w:rPr>
      <w:rFonts w:ascii="Calibri" w:hAnsi="Calibri" w:eastAsia="宋体" w:cs="Times New Roman"/>
    </w:rPr>
  </w:style>
  <w:style w:type="paragraph" w:styleId="26">
    <w:name w:val="Body Text Indent 3"/>
    <w:basedOn w:val="1"/>
    <w:link w:val="73"/>
    <w:qFormat/>
    <w:uiPriority w:val="0"/>
    <w:pPr>
      <w:widowControl/>
      <w:ind w:firstLine="360" w:firstLineChars="100"/>
      <w:jc w:val="left"/>
    </w:pPr>
    <w:rPr>
      <w:sz w:val="36"/>
      <w:szCs w:val="36"/>
    </w:rPr>
  </w:style>
  <w:style w:type="paragraph" w:styleId="27">
    <w:name w:val="toc 2"/>
    <w:basedOn w:val="1"/>
    <w:next w:val="1"/>
    <w:qFormat/>
    <w:uiPriority w:val="39"/>
    <w:pPr>
      <w:ind w:left="420" w:leftChars="200"/>
    </w:pPr>
    <w:rPr>
      <w:rFonts w:ascii="Times New Roman" w:hAnsi="Times New Roman" w:eastAsia="宋体" w:cs="Times New Roman"/>
      <w:sz w:val="28"/>
      <w:szCs w:val="20"/>
    </w:rPr>
  </w:style>
  <w:style w:type="paragraph" w:styleId="28">
    <w:name w:val="toc 9"/>
    <w:basedOn w:val="1"/>
    <w:next w:val="1"/>
    <w:unhideWhenUsed/>
    <w:qFormat/>
    <w:uiPriority w:val="39"/>
    <w:pPr>
      <w:ind w:left="3360" w:leftChars="1600"/>
    </w:pPr>
    <w:rPr>
      <w:rFonts w:ascii="Calibri" w:hAnsi="Calibri" w:eastAsia="宋体" w:cs="Times New Roman"/>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0">
    <w:name w:val="Title"/>
    <w:basedOn w:val="1"/>
    <w:next w:val="1"/>
    <w:link w:val="81"/>
    <w:qFormat/>
    <w:uiPriority w:val="99"/>
    <w:pPr>
      <w:spacing w:before="240" w:after="60"/>
      <w:jc w:val="center"/>
      <w:outlineLvl w:val="0"/>
    </w:pPr>
    <w:rPr>
      <w:rFonts w:ascii="Cambria" w:hAnsi="Cambria" w:eastAsia="宋体" w:cs="Cambria"/>
      <w:b/>
      <w:bCs/>
      <w:sz w:val="32"/>
      <w:szCs w:val="32"/>
    </w:rPr>
  </w:style>
  <w:style w:type="paragraph" w:styleId="31">
    <w:name w:val="annotation subject"/>
    <w:basedOn w:val="9"/>
    <w:next w:val="9"/>
    <w:link w:val="68"/>
    <w:qFormat/>
    <w:uiPriority w:val="99"/>
    <w:rPr>
      <w:rFonts w:asciiTheme="minorHAnsi" w:hAnsiTheme="minorHAnsi" w:eastAsiaTheme="minorEastAsia" w:cstheme="minorBidi"/>
      <w:b/>
      <w:bCs/>
    </w:rPr>
  </w:style>
  <w:style w:type="paragraph" w:styleId="32">
    <w:name w:val="Body Text First Indent"/>
    <w:basedOn w:val="10"/>
    <w:link w:val="62"/>
    <w:qFormat/>
    <w:uiPriority w:val="0"/>
    <w:pPr>
      <w:ind w:firstLine="420" w:firstLineChars="100"/>
    </w:pPr>
    <w:rPr>
      <w:rFonts w:asciiTheme="minorHAnsi" w:hAnsiTheme="minorHAnsi" w:eastAsiaTheme="minorEastAsia" w:cstheme="minorBidi"/>
      <w:szCs w:val="22"/>
    </w:rPr>
  </w:style>
  <w:style w:type="paragraph" w:styleId="33">
    <w:name w:val="Body Text First Indent 2"/>
    <w:basedOn w:val="11"/>
    <w:link w:val="65"/>
    <w:qFormat/>
    <w:uiPriority w:val="0"/>
    <w:pPr>
      <w:spacing w:after="120"/>
      <w:ind w:left="420" w:leftChars="200" w:firstLine="420" w:firstLineChars="200"/>
    </w:pPr>
    <w:rPr>
      <w:rFonts w:cs="Tahoma" w:asciiTheme="minorHAnsi" w:hAnsiTheme="minorHAnsi" w:eastAsiaTheme="minorEastAsia"/>
      <w:sz w:val="21"/>
    </w:rPr>
  </w:style>
  <w:style w:type="table" w:styleId="35">
    <w:name w:val="Table Grid"/>
    <w:basedOn w:val="3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99"/>
    <w:rPr>
      <w:b/>
      <w:bCs/>
    </w:rPr>
  </w:style>
  <w:style w:type="character" w:styleId="38">
    <w:name w:val="page number"/>
    <w:basedOn w:val="36"/>
    <w:qFormat/>
    <w:uiPriority w:val="0"/>
  </w:style>
  <w:style w:type="character" w:styleId="39">
    <w:name w:val="Emphasis"/>
    <w:qFormat/>
    <w:uiPriority w:val="20"/>
    <w:rPr>
      <w:color w:val="auto"/>
    </w:rPr>
  </w:style>
  <w:style w:type="character" w:styleId="40">
    <w:name w:val="Hyperlink"/>
    <w:qFormat/>
    <w:uiPriority w:val="99"/>
    <w:rPr>
      <w:color w:val="0000FF"/>
      <w:u w:val="single"/>
    </w:rPr>
  </w:style>
  <w:style w:type="character" w:styleId="41">
    <w:name w:val="annotation reference"/>
    <w:basedOn w:val="36"/>
    <w:semiHidden/>
    <w:unhideWhenUsed/>
    <w:qFormat/>
    <w:uiPriority w:val="99"/>
    <w:rPr>
      <w:sz w:val="21"/>
      <w:szCs w:val="21"/>
    </w:rPr>
  </w:style>
  <w:style w:type="character" w:styleId="42">
    <w:name w:val="footnote reference"/>
    <w:unhideWhenUsed/>
    <w:qFormat/>
    <w:uiPriority w:val="99"/>
    <w:rPr>
      <w:vertAlign w:val="superscript"/>
    </w:rPr>
  </w:style>
  <w:style w:type="character" w:customStyle="1" w:styleId="43">
    <w:name w:val="页眉 字符"/>
    <w:basedOn w:val="36"/>
    <w:link w:val="20"/>
    <w:qFormat/>
    <w:uiPriority w:val="99"/>
    <w:rPr>
      <w:sz w:val="18"/>
      <w:szCs w:val="18"/>
    </w:rPr>
  </w:style>
  <w:style w:type="character" w:customStyle="1" w:styleId="44">
    <w:name w:val="页脚 字符"/>
    <w:basedOn w:val="36"/>
    <w:link w:val="19"/>
    <w:qFormat/>
    <w:uiPriority w:val="99"/>
    <w:rPr>
      <w:sz w:val="18"/>
      <w:szCs w:val="18"/>
    </w:rPr>
  </w:style>
  <w:style w:type="character" w:customStyle="1" w:styleId="45">
    <w:name w:val="标题 1 字符"/>
    <w:basedOn w:val="36"/>
    <w:link w:val="2"/>
    <w:qFormat/>
    <w:uiPriority w:val="0"/>
    <w:rPr>
      <w:rFonts w:ascii="Times New Roman" w:hAnsi="Times New Roman" w:eastAsia="宋体" w:cs="Times New Roman"/>
      <w:b/>
      <w:bCs/>
      <w:kern w:val="44"/>
      <w:sz w:val="44"/>
      <w:szCs w:val="44"/>
    </w:rPr>
  </w:style>
  <w:style w:type="character" w:customStyle="1" w:styleId="46">
    <w:name w:val="标题 2 字符"/>
    <w:basedOn w:val="36"/>
    <w:link w:val="3"/>
    <w:qFormat/>
    <w:uiPriority w:val="99"/>
    <w:rPr>
      <w:rFonts w:ascii="Arial" w:hAnsi="Arial" w:eastAsia="黑体" w:cs="Times New Roman"/>
      <w:b/>
      <w:sz w:val="32"/>
      <w:szCs w:val="20"/>
    </w:rPr>
  </w:style>
  <w:style w:type="character" w:customStyle="1" w:styleId="47">
    <w:name w:val="标题 3 字符"/>
    <w:basedOn w:val="36"/>
    <w:link w:val="4"/>
    <w:qFormat/>
    <w:uiPriority w:val="0"/>
    <w:rPr>
      <w:rFonts w:ascii="Times New Roman" w:hAnsi="Times New Roman" w:eastAsia="宋体" w:cs="Times New Roman"/>
      <w:b/>
      <w:bCs/>
      <w:sz w:val="32"/>
      <w:szCs w:val="32"/>
    </w:rPr>
  </w:style>
  <w:style w:type="character" w:customStyle="1" w:styleId="48">
    <w:name w:val="标题 4 字符"/>
    <w:basedOn w:val="36"/>
    <w:link w:val="5"/>
    <w:semiHidden/>
    <w:qFormat/>
    <w:uiPriority w:val="9"/>
    <w:rPr>
      <w:rFonts w:ascii="Cambria" w:hAnsi="Cambria" w:eastAsia="宋体" w:cs="Times New Roman"/>
      <w:b/>
      <w:bCs/>
      <w:sz w:val="28"/>
      <w:szCs w:val="28"/>
    </w:rPr>
  </w:style>
  <w:style w:type="paragraph" w:customStyle="1" w:styleId="49">
    <w:name w:val="列出段落2"/>
    <w:basedOn w:val="1"/>
    <w:qFormat/>
    <w:uiPriority w:val="0"/>
    <w:pPr>
      <w:ind w:firstLine="420"/>
    </w:pPr>
    <w:rPr>
      <w:rFonts w:ascii="Times New Roman" w:hAnsi="Times New Roman" w:eastAsia="宋体" w:cs="Times New Roman"/>
      <w:szCs w:val="20"/>
    </w:rPr>
  </w:style>
  <w:style w:type="character" w:customStyle="1" w:styleId="50">
    <w:name w:val="正文文本 Char"/>
    <w:basedOn w:val="36"/>
    <w:qFormat/>
    <w:uiPriority w:val="0"/>
  </w:style>
  <w:style w:type="character" w:customStyle="1" w:styleId="51">
    <w:name w:val="正文文本缩进 Char"/>
    <w:basedOn w:val="36"/>
    <w:qFormat/>
    <w:uiPriority w:val="0"/>
  </w:style>
  <w:style w:type="character" w:customStyle="1" w:styleId="52">
    <w:name w:val="批注框文本 字符"/>
    <w:basedOn w:val="36"/>
    <w:link w:val="18"/>
    <w:semiHidden/>
    <w:qFormat/>
    <w:uiPriority w:val="99"/>
    <w:rPr>
      <w:rFonts w:ascii="Times New Roman" w:hAnsi="Times New Roman" w:eastAsia="宋体" w:cs="Times New Roman"/>
      <w:sz w:val="18"/>
      <w:szCs w:val="18"/>
    </w:rPr>
  </w:style>
  <w:style w:type="character" w:customStyle="1" w:styleId="53">
    <w:name w:val="apple-converted-space"/>
    <w:qFormat/>
    <w:uiPriority w:val="0"/>
  </w:style>
  <w:style w:type="character" w:customStyle="1" w:styleId="54">
    <w:name w:val="批注文字 字符"/>
    <w:basedOn w:val="36"/>
    <w:link w:val="9"/>
    <w:semiHidden/>
    <w:qFormat/>
    <w:uiPriority w:val="99"/>
    <w:rPr>
      <w:rFonts w:ascii="Times New Roman" w:hAnsi="Times New Roman" w:eastAsia="宋体" w:cs="Times New Roman"/>
      <w:szCs w:val="24"/>
    </w:rPr>
  </w:style>
  <w:style w:type="character" w:customStyle="1" w:styleId="55">
    <w:name w:val="批注框文本 Char1"/>
    <w:semiHidden/>
    <w:qFormat/>
    <w:uiPriority w:val="99"/>
    <w:rPr>
      <w:rFonts w:ascii="Calibri" w:hAnsi="Calibri" w:eastAsia="宋体" w:cs="Times New Roman"/>
      <w:sz w:val="18"/>
      <w:szCs w:val="18"/>
    </w:rPr>
  </w:style>
  <w:style w:type="character" w:customStyle="1" w:styleId="56">
    <w:name w:val="日期 字符"/>
    <w:link w:val="16"/>
    <w:qFormat/>
    <w:uiPriority w:val="0"/>
    <w:rPr>
      <w:szCs w:val="24"/>
    </w:rPr>
  </w:style>
  <w:style w:type="character" w:customStyle="1" w:styleId="57">
    <w:name w:val="日期 Char1"/>
    <w:basedOn w:val="36"/>
    <w:semiHidden/>
    <w:qFormat/>
    <w:uiPriority w:val="99"/>
  </w:style>
  <w:style w:type="paragraph" w:customStyle="1" w:styleId="58">
    <w:name w:val="样式 样式 标题 1 + 黑体 四号 +1"/>
    <w:basedOn w:val="1"/>
    <w:qFormat/>
    <w:uiPriority w:val="0"/>
    <w:pPr>
      <w:keepNext/>
      <w:keepLines/>
      <w:spacing w:line="360" w:lineRule="auto"/>
      <w:outlineLvl w:val="0"/>
    </w:pPr>
    <w:rPr>
      <w:rFonts w:ascii="黑体" w:hAnsi="黑体" w:eastAsia="黑体" w:cs="Times New Roman"/>
      <w:b/>
      <w:bCs/>
      <w:kern w:val="0"/>
      <w:sz w:val="28"/>
      <w:szCs w:val="44"/>
    </w:rPr>
  </w:style>
  <w:style w:type="character" w:customStyle="1" w:styleId="59">
    <w:name w:val="文档结构图 字符"/>
    <w:link w:val="8"/>
    <w:semiHidden/>
    <w:qFormat/>
    <w:uiPriority w:val="99"/>
    <w:rPr>
      <w:szCs w:val="24"/>
      <w:shd w:val="clear" w:color="auto" w:fill="000080"/>
    </w:rPr>
  </w:style>
  <w:style w:type="character" w:customStyle="1" w:styleId="60">
    <w:name w:val="文档结构图 Char1"/>
    <w:basedOn w:val="36"/>
    <w:semiHidden/>
    <w:qFormat/>
    <w:uiPriority w:val="99"/>
    <w:rPr>
      <w:rFonts w:ascii="宋体" w:eastAsia="宋体"/>
      <w:sz w:val="18"/>
      <w:szCs w:val="18"/>
    </w:rPr>
  </w:style>
  <w:style w:type="character" w:customStyle="1" w:styleId="61">
    <w:name w:val="副标题 字符"/>
    <w:basedOn w:val="36"/>
    <w:link w:val="23"/>
    <w:qFormat/>
    <w:uiPriority w:val="99"/>
    <w:rPr>
      <w:rFonts w:ascii="Cambria" w:hAnsi="Cambria" w:eastAsia="宋体" w:cs="Times New Roman"/>
      <w:b/>
      <w:bCs/>
      <w:kern w:val="28"/>
      <w:sz w:val="32"/>
      <w:szCs w:val="32"/>
    </w:rPr>
  </w:style>
  <w:style w:type="character" w:customStyle="1" w:styleId="62">
    <w:name w:val="正文文本首行缩进 字符"/>
    <w:link w:val="32"/>
    <w:qFormat/>
    <w:uiPriority w:val="0"/>
  </w:style>
  <w:style w:type="character" w:customStyle="1" w:styleId="63">
    <w:name w:val="正文首行缩进 Char1"/>
    <w:basedOn w:val="50"/>
    <w:semiHidden/>
    <w:qFormat/>
    <w:uiPriority w:val="99"/>
  </w:style>
  <w:style w:type="character" w:customStyle="1" w:styleId="64">
    <w:name w:val="正文文本 字符"/>
    <w:link w:val="10"/>
    <w:qFormat/>
    <w:uiPriority w:val="99"/>
    <w:rPr>
      <w:rFonts w:ascii="Times New Roman" w:hAnsi="Times New Roman" w:eastAsia="宋体" w:cs="Times New Roman"/>
      <w:szCs w:val="20"/>
    </w:rPr>
  </w:style>
  <w:style w:type="character" w:customStyle="1" w:styleId="65">
    <w:name w:val="正文文本首行缩进 2 字符"/>
    <w:link w:val="33"/>
    <w:qFormat/>
    <w:uiPriority w:val="0"/>
    <w:rPr>
      <w:rFonts w:cs="Tahoma"/>
      <w:szCs w:val="24"/>
    </w:rPr>
  </w:style>
  <w:style w:type="character" w:customStyle="1" w:styleId="66">
    <w:name w:val="正文首行缩进 2 Char1"/>
    <w:basedOn w:val="51"/>
    <w:semiHidden/>
    <w:qFormat/>
    <w:uiPriority w:val="99"/>
  </w:style>
  <w:style w:type="character" w:customStyle="1" w:styleId="67">
    <w:name w:val="正文文本缩进 字符"/>
    <w:link w:val="11"/>
    <w:qFormat/>
    <w:uiPriority w:val="0"/>
    <w:rPr>
      <w:rFonts w:ascii="Times New Roman" w:hAnsi="Times New Roman" w:eastAsia="宋体" w:cs="Times New Roman"/>
      <w:sz w:val="32"/>
      <w:szCs w:val="24"/>
    </w:rPr>
  </w:style>
  <w:style w:type="character" w:customStyle="1" w:styleId="68">
    <w:name w:val="批注主题 字符"/>
    <w:link w:val="31"/>
    <w:qFormat/>
    <w:uiPriority w:val="99"/>
    <w:rPr>
      <w:b/>
      <w:bCs/>
      <w:szCs w:val="24"/>
    </w:rPr>
  </w:style>
  <w:style w:type="character" w:customStyle="1" w:styleId="69">
    <w:name w:val="批注主题 Char1"/>
    <w:basedOn w:val="54"/>
    <w:semiHidden/>
    <w:qFormat/>
    <w:uiPriority w:val="99"/>
    <w:rPr>
      <w:rFonts w:ascii="Times New Roman" w:hAnsi="Times New Roman" w:eastAsia="宋体" w:cs="Times New Roman"/>
      <w:b/>
      <w:bCs/>
      <w:szCs w:val="24"/>
    </w:rPr>
  </w:style>
  <w:style w:type="paragraph" w:customStyle="1" w:styleId="70">
    <w:name w:val="样式1"/>
    <w:basedOn w:val="1"/>
    <w:qFormat/>
    <w:uiPriority w:val="99"/>
    <w:rPr>
      <w:rFonts w:ascii="Times New Roman" w:hAnsi="Times New Roman" w:eastAsia="宋体" w:cs="Times New Roman"/>
      <w:szCs w:val="24"/>
    </w:rPr>
  </w:style>
  <w:style w:type="character" w:customStyle="1" w:styleId="71">
    <w:name w:val="正文文本缩进 2 字符"/>
    <w:link w:val="17"/>
    <w:qFormat/>
    <w:uiPriority w:val="0"/>
    <w:rPr>
      <w:sz w:val="24"/>
      <w:szCs w:val="24"/>
    </w:rPr>
  </w:style>
  <w:style w:type="character" w:customStyle="1" w:styleId="72">
    <w:name w:val="正文文本缩进 2 Char1"/>
    <w:basedOn w:val="36"/>
    <w:semiHidden/>
    <w:qFormat/>
    <w:uiPriority w:val="99"/>
  </w:style>
  <w:style w:type="character" w:customStyle="1" w:styleId="73">
    <w:name w:val="正文文本缩进 3 字符"/>
    <w:link w:val="26"/>
    <w:qFormat/>
    <w:uiPriority w:val="0"/>
    <w:rPr>
      <w:sz w:val="36"/>
      <w:szCs w:val="36"/>
    </w:rPr>
  </w:style>
  <w:style w:type="character" w:customStyle="1" w:styleId="74">
    <w:name w:val="正文文本缩进 3 Char1"/>
    <w:basedOn w:val="36"/>
    <w:semiHidden/>
    <w:qFormat/>
    <w:uiPriority w:val="99"/>
    <w:rPr>
      <w:sz w:val="16"/>
      <w:szCs w:val="16"/>
    </w:rPr>
  </w:style>
  <w:style w:type="paragraph" w:styleId="75">
    <w:name w:val="List Paragraph"/>
    <w:basedOn w:val="1"/>
    <w:qFormat/>
    <w:uiPriority w:val="99"/>
    <w:pPr>
      <w:ind w:firstLine="420" w:firstLineChars="200"/>
    </w:pPr>
    <w:rPr>
      <w:rFonts w:ascii="Calibri" w:hAnsi="Calibri" w:eastAsia="宋体" w:cs="Times New Roman"/>
    </w:rPr>
  </w:style>
  <w:style w:type="paragraph" w:customStyle="1" w:styleId="76">
    <w:name w:val="TOC 标题1"/>
    <w:basedOn w:val="2"/>
    <w:next w:val="1"/>
    <w:qFormat/>
    <w:uiPriority w:val="39"/>
    <w:pPr>
      <w:widowControl/>
      <w:spacing w:before="480" w:beforeLines="50" w:afterLines="50" w:line="276" w:lineRule="auto"/>
      <w:jc w:val="left"/>
      <w:outlineLvl w:val="9"/>
    </w:pPr>
    <w:rPr>
      <w:rFonts w:ascii="Cambria" w:hAnsi="Cambria" w:eastAsia="黑体"/>
      <w:color w:val="365F91"/>
      <w:kern w:val="0"/>
      <w:sz w:val="28"/>
      <w:szCs w:val="28"/>
    </w:rPr>
  </w:style>
  <w:style w:type="character" w:customStyle="1" w:styleId="77">
    <w:name w:val="纯文本 字符"/>
    <w:link w:val="14"/>
    <w:qFormat/>
    <w:uiPriority w:val="0"/>
    <w:rPr>
      <w:rFonts w:ascii="宋体" w:hAnsi="Courier New" w:cs="Courier New"/>
      <w:szCs w:val="21"/>
    </w:rPr>
  </w:style>
  <w:style w:type="character" w:customStyle="1" w:styleId="78">
    <w:name w:val="纯文本 Char1"/>
    <w:basedOn w:val="36"/>
    <w:semiHidden/>
    <w:qFormat/>
    <w:uiPriority w:val="99"/>
    <w:rPr>
      <w:rFonts w:ascii="宋体" w:hAnsi="Courier New" w:eastAsia="宋体" w:cs="Courier New"/>
      <w:szCs w:val="21"/>
    </w:rPr>
  </w:style>
  <w:style w:type="paragraph" w:customStyle="1" w:styleId="79">
    <w:name w:val="11表格文字居中"/>
    <w:basedOn w:val="1"/>
    <w:qFormat/>
    <w:uiPriority w:val="0"/>
    <w:pPr>
      <w:spacing w:line="165" w:lineRule="atLeast"/>
      <w:jc w:val="center"/>
      <w:outlineLvl w:val="4"/>
    </w:pPr>
    <w:rPr>
      <w:rFonts w:ascii="Times New Roman" w:hAnsi="Times New Roman" w:eastAsia="宋体" w:cs="Times New Roman"/>
      <w:szCs w:val="21"/>
    </w:rPr>
  </w:style>
  <w:style w:type="character" w:customStyle="1" w:styleId="80">
    <w:name w:val="脚注文本 字符"/>
    <w:basedOn w:val="36"/>
    <w:link w:val="24"/>
    <w:qFormat/>
    <w:uiPriority w:val="99"/>
    <w:rPr>
      <w:rFonts w:ascii="Times New Roman" w:hAnsi="Times New Roman" w:eastAsia="宋体" w:cs="Times New Roman"/>
      <w:sz w:val="18"/>
      <w:szCs w:val="18"/>
    </w:rPr>
  </w:style>
  <w:style w:type="character" w:customStyle="1" w:styleId="81">
    <w:name w:val="标题 字符"/>
    <w:basedOn w:val="36"/>
    <w:link w:val="30"/>
    <w:qFormat/>
    <w:uiPriority w:val="99"/>
    <w:rPr>
      <w:rFonts w:ascii="Cambria" w:hAnsi="Cambria" w:eastAsia="宋体" w:cs="Cambria"/>
      <w:b/>
      <w:bCs/>
      <w:sz w:val="32"/>
      <w:szCs w:val="32"/>
    </w:rPr>
  </w:style>
  <w:style w:type="paragraph" w:customStyle="1" w:styleId="82">
    <w:name w:val="Char Char Char Char"/>
    <w:basedOn w:val="1"/>
    <w:semiHidden/>
    <w:qFormat/>
    <w:uiPriority w:val="0"/>
    <w:pPr>
      <w:widowControl/>
      <w:spacing w:after="160" w:line="240" w:lineRule="exact"/>
      <w:jc w:val="left"/>
    </w:pPr>
    <w:rPr>
      <w:rFonts w:ascii="Verdana" w:hAnsi="Verdana" w:eastAsia="宋体" w:cs="Verdana"/>
      <w:kern w:val="0"/>
      <w:sz w:val="20"/>
      <w:szCs w:val="20"/>
      <w:lang w:eastAsia="en-US"/>
    </w:rPr>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图表说明"/>
    <w:basedOn w:val="1"/>
    <w:qFormat/>
    <w:uiPriority w:val="0"/>
    <w:pPr>
      <w:jc w:val="center"/>
    </w:pPr>
    <w:rPr>
      <w:rFonts w:ascii="宋体" w:hAnsi="宋体" w:eastAsia="宋体" w:cs="Times New Roman"/>
      <w:sz w:val="24"/>
      <w:szCs w:val="24"/>
    </w:rPr>
  </w:style>
  <w:style w:type="paragraph" w:customStyle="1" w:styleId="85">
    <w:name w:val="样式 小四 行距: 1.5 倍行距"/>
    <w:basedOn w:val="1"/>
    <w:qFormat/>
    <w:uiPriority w:val="0"/>
    <w:pPr>
      <w:spacing w:line="360" w:lineRule="auto"/>
    </w:pPr>
    <w:rPr>
      <w:rFonts w:ascii="Times New Roman" w:hAnsi="Times New Roman" w:eastAsia="宋体" w:cs="Times New Roman"/>
      <w:sz w:val="24"/>
      <w:szCs w:val="24"/>
    </w:rPr>
  </w:style>
  <w:style w:type="paragraph" w:customStyle="1" w:styleId="86">
    <w:name w:val="样式2"/>
    <w:qFormat/>
    <w:uiPriority w:val="0"/>
    <w:pPr>
      <w:spacing w:line="400" w:lineRule="atLeast"/>
    </w:pPr>
    <w:rPr>
      <w:rFonts w:ascii="Times New Roman" w:hAnsi="Times New Roman" w:eastAsia="宋体" w:cs="Times New Roman"/>
      <w:kern w:val="2"/>
      <w:sz w:val="24"/>
      <w:szCs w:val="24"/>
      <w:lang w:val="en-US" w:eastAsia="zh-CN" w:bidi="ar-SA"/>
    </w:rPr>
  </w:style>
  <w:style w:type="paragraph" w:customStyle="1" w:styleId="87">
    <w:name w:val="列出段落1"/>
    <w:basedOn w:val="1"/>
    <w:qFormat/>
    <w:uiPriority w:val="0"/>
    <w:pPr>
      <w:ind w:firstLine="420" w:firstLineChars="200"/>
    </w:pPr>
    <w:rPr>
      <w:rFonts w:ascii="Calibri" w:hAnsi="Calibri" w:eastAsia="宋体" w:cs="Calibri"/>
      <w:szCs w:val="21"/>
    </w:rPr>
  </w:style>
  <w:style w:type="character" w:customStyle="1" w:styleId="88">
    <w:name w:val="书籍标题1"/>
    <w:qFormat/>
    <w:uiPriority w:val="99"/>
    <w:rPr>
      <w:b/>
      <w:bCs/>
      <w:smallCaps/>
      <w:spacing w:val="5"/>
    </w:rPr>
  </w:style>
  <w:style w:type="paragraph" w:customStyle="1" w:styleId="89">
    <w:name w:val="Char Char Char Char1 Char Char Char Char Char1 Char Char Char Char Char Char Char Char Char Char"/>
    <w:basedOn w:val="1"/>
    <w:semiHidden/>
    <w:qFormat/>
    <w:uiPriority w:val="0"/>
    <w:pPr>
      <w:widowControl/>
      <w:spacing w:after="160" w:line="240" w:lineRule="exact"/>
      <w:jc w:val="left"/>
    </w:pPr>
    <w:rPr>
      <w:rFonts w:ascii="Verdana" w:hAnsi="Verdana" w:eastAsia="宋体" w:cs="Times New Roman"/>
      <w:kern w:val="0"/>
      <w:sz w:val="20"/>
      <w:szCs w:val="20"/>
      <w:lang w:eastAsia="en-US"/>
    </w:rPr>
  </w:style>
  <w:style w:type="table" w:customStyle="1" w:styleId="90">
    <w:name w:val="网格型1"/>
    <w:basedOn w:val="3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
    <w:name w:val="网格型2"/>
    <w:basedOn w:val="34"/>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emtidy-6"/>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3">
    <w:name w:val="emtidy-2"/>
    <w:basedOn w:val="36"/>
    <w:qFormat/>
    <w:uiPriority w:val="0"/>
  </w:style>
  <w:style w:type="paragraph" w:customStyle="1" w:styleId="94">
    <w:name w:val="emtidy-8"/>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5">
    <w:name w:val="emtidy-7"/>
    <w:basedOn w:val="36"/>
    <w:qFormat/>
    <w:uiPriority w:val="0"/>
  </w:style>
  <w:style w:type="character" w:customStyle="1" w:styleId="96">
    <w:name w:val="emtidy-4"/>
    <w:basedOn w:val="36"/>
    <w:qFormat/>
    <w:uiPriority w:val="0"/>
  </w:style>
  <w:style w:type="paragraph" w:customStyle="1" w:styleId="97">
    <w:name w:val="emtidy-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Body text|1"/>
    <w:basedOn w:val="1"/>
    <w:qFormat/>
    <w:uiPriority w:val="0"/>
    <w:pPr>
      <w:spacing w:line="360" w:lineRule="auto"/>
      <w:ind w:firstLine="400"/>
    </w:pPr>
    <w:rPr>
      <w:rFonts w:ascii="宋体" w:hAnsi="宋体" w:eastAsia="宋体" w:cs="宋体"/>
      <w:sz w:val="19"/>
      <w:szCs w:val="19"/>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6B3E-1E69-478A-BDD9-AA18D8C5F14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23187</Words>
  <Characters>24620</Characters>
  <Lines>188</Lines>
  <Paragraphs>53</Paragraphs>
  <TotalTime>475</TotalTime>
  <ScaleCrop>false</ScaleCrop>
  <LinksUpToDate>false</LinksUpToDate>
  <CharactersWithSpaces>24898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2021-05-19T04:43:00Z</dcterms:created>
  <dc:creator>marilyn</dc:creator>
  <cp:lastModifiedBy>蔡中奇</cp:lastModifiedBy>
  <dcterms:modified xsi:type="dcterms:W3CDTF">2022-12-15T01:45:57Z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BE34E84DEAD147F2A4635E58598D781B</vt:lpwstr>
  </property>
</Properties>
</file>