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黑体" w:hAnsi="黑体" w:eastAsia="黑体"/>
          <w:sz w:val="32"/>
          <w:szCs w:val="32"/>
        </w:rPr>
      </w:pPr>
      <w:bookmarkStart w:id="0" w:name="_Toc378166633"/>
      <w:bookmarkStart w:id="1" w:name="_Toc252263283"/>
      <w:bookmarkStart w:id="2" w:name="_Toc252263427"/>
      <w:bookmarkStart w:id="3" w:name="_Toc378099420"/>
      <w:bookmarkStart w:id="4" w:name="_Toc378165549"/>
      <w:r>
        <w:rPr>
          <w:rFonts w:ascii="黑体" w:hAnsi="黑体" w:eastAsia="黑体"/>
          <w:sz w:val="32"/>
          <w:szCs w:val="32"/>
        </w:rPr>
        <w:t>信息安全技术应用</w:t>
      </w:r>
      <w:r>
        <w:rPr>
          <w:rFonts w:hint="eastAsia" w:ascii="黑体" w:hAnsi="黑体" w:eastAsia="黑体"/>
          <w:sz w:val="32"/>
          <w:szCs w:val="32"/>
        </w:rPr>
        <w:t>（中高职贯通）专业人才培养方案</w:t>
      </w:r>
    </w:p>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一、专业名称及代码</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8"/>
        <w:gridCol w:w="2559"/>
        <w:gridCol w:w="2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9" w:hRule="atLeast"/>
          <w:jc w:val="center"/>
        </w:trPr>
        <w:tc>
          <w:tcPr>
            <w:tcW w:w="2244" w:type="pct"/>
            <w:tcBorders>
              <w:tl2br w:val="single" w:color="auto" w:sz="4" w:space="0"/>
            </w:tcBorders>
            <w:shd w:val="clear" w:color="auto" w:fill="auto"/>
          </w:tcPr>
          <w:p>
            <w:pPr>
              <w:spacing w:line="300" w:lineRule="auto"/>
              <w:jc w:val="right"/>
              <w:rPr>
                <w:rStyle w:val="104"/>
                <w:rFonts w:ascii="宋体" w:hAnsi="宋体" w:cs="Arial"/>
                <w:b/>
                <w:color w:val="000000" w:themeColor="text1"/>
                <w:szCs w:val="21"/>
                <w14:textFill>
                  <w14:solidFill>
                    <w14:schemeClr w14:val="tx1"/>
                  </w14:solidFill>
                </w14:textFill>
              </w:rPr>
            </w:pPr>
            <w:r>
              <w:rPr>
                <w:rStyle w:val="104"/>
                <w:rFonts w:hint="eastAsia" w:ascii="宋体" w:hAnsi="宋体" w:cs="Arial"/>
                <w:b/>
                <w:color w:val="000000" w:themeColor="text1"/>
                <w:szCs w:val="21"/>
                <w14:textFill>
                  <w14:solidFill>
                    <w14:schemeClr w14:val="tx1"/>
                  </w14:solidFill>
                </w14:textFill>
              </w:rPr>
              <w:t>中高职</w:t>
            </w:r>
          </w:p>
          <w:p>
            <w:pPr>
              <w:spacing w:line="300" w:lineRule="auto"/>
              <w:jc w:val="left"/>
              <w:rPr>
                <w:rStyle w:val="104"/>
                <w:rFonts w:ascii="宋体" w:hAnsi="宋体" w:cs="Arial"/>
                <w:b/>
                <w:color w:val="000000" w:themeColor="text1"/>
                <w:szCs w:val="21"/>
                <w14:textFill>
                  <w14:solidFill>
                    <w14:schemeClr w14:val="tx1"/>
                  </w14:solidFill>
                </w14:textFill>
              </w:rPr>
            </w:pPr>
            <w:r>
              <w:rPr>
                <w:rStyle w:val="104"/>
                <w:rFonts w:hint="eastAsia" w:ascii="宋体" w:hAnsi="宋体" w:cs="Arial"/>
                <w:b/>
                <w:color w:val="000000" w:themeColor="text1"/>
                <w:szCs w:val="21"/>
                <w14:textFill>
                  <w14:solidFill>
                    <w14:schemeClr w14:val="tx1"/>
                  </w14:solidFill>
                </w14:textFill>
              </w:rPr>
              <w:t>名称代码</w:t>
            </w:r>
          </w:p>
        </w:tc>
        <w:tc>
          <w:tcPr>
            <w:tcW w:w="1378" w:type="pct"/>
            <w:shd w:val="clear" w:color="auto" w:fill="auto"/>
            <w:vAlign w:val="center"/>
          </w:tcPr>
          <w:p>
            <w:pPr>
              <w:spacing w:line="300" w:lineRule="auto"/>
              <w:jc w:val="center"/>
              <w:rPr>
                <w:rStyle w:val="104"/>
                <w:rFonts w:ascii="宋体" w:hAnsi="宋体" w:cs="Arial"/>
                <w:b/>
                <w:color w:val="000000" w:themeColor="text1"/>
                <w:szCs w:val="21"/>
                <w14:textFill>
                  <w14:solidFill>
                    <w14:schemeClr w14:val="tx1"/>
                  </w14:solidFill>
                </w14:textFill>
              </w:rPr>
            </w:pPr>
            <w:r>
              <w:rPr>
                <w:rStyle w:val="104"/>
                <w:rFonts w:hint="eastAsia" w:ascii="宋体" w:hAnsi="宋体" w:cs="Arial"/>
                <w:b/>
                <w:color w:val="000000" w:themeColor="text1"/>
                <w:szCs w:val="21"/>
                <w14:textFill>
                  <w14:solidFill>
                    <w14:schemeClr w14:val="tx1"/>
                  </w14:solidFill>
                </w14:textFill>
              </w:rPr>
              <w:t>中职</w:t>
            </w:r>
          </w:p>
        </w:tc>
        <w:tc>
          <w:tcPr>
            <w:tcW w:w="1378" w:type="pct"/>
            <w:shd w:val="clear" w:color="auto" w:fill="auto"/>
            <w:vAlign w:val="center"/>
          </w:tcPr>
          <w:p>
            <w:pPr>
              <w:spacing w:line="300" w:lineRule="auto"/>
              <w:jc w:val="center"/>
              <w:rPr>
                <w:rStyle w:val="104"/>
                <w:rFonts w:ascii="宋体" w:hAnsi="宋体" w:cs="Arial"/>
                <w:b/>
                <w:color w:val="000000" w:themeColor="text1"/>
                <w:szCs w:val="21"/>
                <w14:textFill>
                  <w14:solidFill>
                    <w14:schemeClr w14:val="tx1"/>
                  </w14:solidFill>
                </w14:textFill>
              </w:rPr>
            </w:pPr>
            <w:r>
              <w:rPr>
                <w:rStyle w:val="104"/>
                <w:rFonts w:hint="eastAsia" w:ascii="宋体" w:hAnsi="宋体" w:cs="Arial"/>
                <w:b/>
                <w:color w:val="000000" w:themeColor="text1"/>
                <w:szCs w:val="21"/>
                <w14:textFill>
                  <w14:solidFill>
                    <w14:schemeClr w14:val="tx1"/>
                  </w14:solidFill>
                </w14:textFill>
              </w:rPr>
              <w:t>高职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2244" w:type="pct"/>
            <w:shd w:val="clear" w:color="auto" w:fill="auto"/>
            <w:vAlign w:val="center"/>
          </w:tcPr>
          <w:p>
            <w:pPr>
              <w:spacing w:line="300" w:lineRule="auto"/>
              <w:jc w:val="center"/>
              <w:rPr>
                <w:rStyle w:val="104"/>
                <w:rFonts w:ascii="宋体" w:hAnsi="宋体" w:cs="Arial"/>
                <w:color w:val="000000" w:themeColor="text1"/>
                <w:szCs w:val="21"/>
                <w14:textFill>
                  <w14:solidFill>
                    <w14:schemeClr w14:val="tx1"/>
                  </w14:solidFill>
                </w14:textFill>
              </w:rPr>
            </w:pPr>
            <w:r>
              <w:rPr>
                <w:rStyle w:val="104"/>
                <w:rFonts w:hint="eastAsia" w:ascii="宋体" w:hAnsi="宋体" w:cs="Arial"/>
                <w:color w:val="000000" w:themeColor="text1"/>
                <w:szCs w:val="21"/>
                <w14:textFill>
                  <w14:solidFill>
                    <w14:schemeClr w14:val="tx1"/>
                  </w14:solidFill>
                </w14:textFill>
              </w:rPr>
              <w:t>专业名称</w:t>
            </w:r>
          </w:p>
        </w:tc>
        <w:tc>
          <w:tcPr>
            <w:tcW w:w="1378" w:type="pct"/>
            <w:shd w:val="clear" w:color="auto" w:fill="auto"/>
            <w:vAlign w:val="center"/>
          </w:tcPr>
          <w:p>
            <w:pPr>
              <w:spacing w:line="300" w:lineRule="auto"/>
              <w:jc w:val="center"/>
              <w:rPr>
                <w:rStyle w:val="104"/>
                <w:rFonts w:ascii="宋体" w:hAnsi="宋体" w:cs="Arial"/>
                <w:color w:val="000000" w:themeColor="text1"/>
                <w:szCs w:val="21"/>
                <w14:textFill>
                  <w14:solidFill>
                    <w14:schemeClr w14:val="tx1"/>
                  </w14:solidFill>
                </w14:textFill>
              </w:rPr>
            </w:pPr>
            <w:r>
              <w:rPr>
                <w:rStyle w:val="104"/>
                <w:rFonts w:cs="Arial"/>
                <w:color w:val="000000" w:themeColor="text1"/>
                <w:szCs w:val="21"/>
                <w14:textFill>
                  <w14:solidFill>
                    <w14:schemeClr w14:val="tx1"/>
                  </w14:solidFill>
                </w14:textFill>
              </w:rPr>
              <w:t>计算机网络技术</w:t>
            </w:r>
          </w:p>
        </w:tc>
        <w:tc>
          <w:tcPr>
            <w:tcW w:w="1378" w:type="pct"/>
            <w:shd w:val="clear" w:color="auto" w:fill="auto"/>
            <w:vAlign w:val="center"/>
          </w:tcPr>
          <w:p>
            <w:pPr>
              <w:spacing w:line="300" w:lineRule="auto"/>
              <w:jc w:val="center"/>
              <w:rPr>
                <w:rStyle w:val="104"/>
                <w:rFonts w:ascii="宋体" w:hAnsi="宋体" w:cs="Arial"/>
                <w:color w:val="000000" w:themeColor="text1"/>
                <w:szCs w:val="21"/>
                <w14:textFill>
                  <w14:solidFill>
                    <w14:schemeClr w14:val="tx1"/>
                  </w14:solidFill>
                </w14:textFill>
              </w:rPr>
            </w:pPr>
            <w:r>
              <w:rPr>
                <w:rStyle w:val="104"/>
                <w:rFonts w:cs="Arial"/>
                <w:color w:val="000000" w:themeColor="text1"/>
                <w:szCs w:val="21"/>
                <w14:textFill>
                  <w14:solidFill>
                    <w14:schemeClr w14:val="tx1"/>
                  </w14:solidFill>
                </w14:textFill>
              </w:rPr>
              <w:t>信息安全技术应用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44" w:type="pct"/>
            <w:shd w:val="clear" w:color="auto" w:fill="auto"/>
            <w:vAlign w:val="center"/>
          </w:tcPr>
          <w:p>
            <w:pPr>
              <w:spacing w:line="300" w:lineRule="auto"/>
              <w:jc w:val="center"/>
              <w:rPr>
                <w:rStyle w:val="104"/>
                <w:rFonts w:ascii="宋体" w:hAnsi="宋体" w:cs="Arial"/>
                <w:color w:val="000000" w:themeColor="text1"/>
                <w:szCs w:val="21"/>
                <w14:textFill>
                  <w14:solidFill>
                    <w14:schemeClr w14:val="tx1"/>
                  </w14:solidFill>
                </w14:textFill>
              </w:rPr>
            </w:pPr>
            <w:r>
              <w:rPr>
                <w:rStyle w:val="104"/>
                <w:rFonts w:hint="eastAsia" w:ascii="宋体" w:hAnsi="宋体" w:cs="Arial"/>
                <w:color w:val="000000" w:themeColor="text1"/>
                <w:szCs w:val="21"/>
                <w14:textFill>
                  <w14:solidFill>
                    <w14:schemeClr w14:val="tx1"/>
                  </w14:solidFill>
                </w14:textFill>
              </w:rPr>
              <w:t>专业代码</w:t>
            </w:r>
          </w:p>
        </w:tc>
        <w:tc>
          <w:tcPr>
            <w:tcW w:w="1378" w:type="pct"/>
            <w:shd w:val="clear" w:color="auto" w:fill="auto"/>
            <w:vAlign w:val="center"/>
          </w:tcPr>
          <w:p>
            <w:pPr>
              <w:spacing w:line="300" w:lineRule="auto"/>
              <w:jc w:val="center"/>
              <w:rPr>
                <w:rStyle w:val="104"/>
                <w:rFonts w:ascii="宋体" w:hAnsi="宋体" w:cs="Arial"/>
                <w:color w:val="000000" w:themeColor="text1"/>
                <w:szCs w:val="21"/>
                <w14:textFill>
                  <w14:solidFill>
                    <w14:schemeClr w14:val="tx1"/>
                  </w14:solidFill>
                </w14:textFill>
              </w:rPr>
            </w:pPr>
            <w:r>
              <w:rPr>
                <w:rStyle w:val="104"/>
                <w:rFonts w:cs="Arial"/>
                <w:color w:val="000000" w:themeColor="text1"/>
                <w:szCs w:val="21"/>
                <w14:textFill>
                  <w14:solidFill>
                    <w14:schemeClr w14:val="tx1"/>
                  </w14:solidFill>
                </w14:textFill>
              </w:rPr>
              <w:t>710202</w:t>
            </w:r>
          </w:p>
        </w:tc>
        <w:tc>
          <w:tcPr>
            <w:tcW w:w="1378" w:type="pct"/>
            <w:shd w:val="clear" w:color="auto" w:fill="auto"/>
            <w:vAlign w:val="center"/>
          </w:tcPr>
          <w:p>
            <w:pPr>
              <w:spacing w:line="300" w:lineRule="auto"/>
              <w:jc w:val="center"/>
              <w:rPr>
                <w:rStyle w:val="104"/>
                <w:rFonts w:ascii="宋体" w:hAnsi="宋体" w:cs="Arial"/>
                <w:color w:val="000000" w:themeColor="text1"/>
                <w:szCs w:val="21"/>
                <w14:textFill>
                  <w14:solidFill>
                    <w14:schemeClr w14:val="tx1"/>
                  </w14:solidFill>
                </w14:textFill>
              </w:rPr>
            </w:pPr>
            <w:r>
              <w:rPr>
                <w:rStyle w:val="104"/>
                <w:rFonts w:cs="Arial"/>
                <w:color w:val="000000" w:themeColor="text1"/>
                <w:szCs w:val="21"/>
                <w14:textFill>
                  <w14:solidFill>
                    <w14:schemeClr w14:val="tx1"/>
                  </w14:solidFill>
                </w14:textFill>
              </w:rPr>
              <w:t>510207</w:t>
            </w:r>
          </w:p>
        </w:tc>
      </w:tr>
    </w:tbl>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二、入学要求</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初中毕业或相当于初中毕业文化程度</w:t>
      </w:r>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三、修业年限</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五年</w:t>
      </w:r>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四、职业面向</w:t>
      </w:r>
    </w:p>
    <w:p>
      <w:pPr>
        <w:autoSpaceDE w:val="0"/>
        <w:autoSpaceDN w:val="0"/>
        <w:spacing w:after="160" w:line="259" w:lineRule="auto"/>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表1</w:t>
      </w:r>
      <w:r>
        <w:rPr>
          <w:rFonts w:cs="宋体" w:asciiTheme="majorEastAsia" w:hAnsiTheme="majorEastAsia" w:eastAsiaTheme="majorEastAsia"/>
          <w:b/>
          <w:kern w:val="0"/>
          <w:szCs w:val="21"/>
          <w:lang w:val="zh-CN" w:bidi="zh-CN"/>
        </w:rPr>
        <w:t xml:space="preserve"> </w:t>
      </w:r>
      <w:r>
        <w:rPr>
          <w:rFonts w:hint="eastAsia" w:cs="宋体" w:asciiTheme="majorEastAsia" w:hAnsiTheme="majorEastAsia" w:eastAsiaTheme="majorEastAsia"/>
          <w:b/>
          <w:kern w:val="0"/>
          <w:szCs w:val="21"/>
          <w:lang w:val="zh-CN" w:bidi="zh-CN"/>
        </w:rPr>
        <w:t>本专业职业面向</w:t>
      </w:r>
    </w:p>
    <w:tbl>
      <w:tblPr>
        <w:tblStyle w:val="35"/>
        <w:tblpPr w:leftFromText="180" w:rightFromText="180" w:vertAnchor="text" w:horzAnchor="margin" w:tblpXSpec="center" w:tblpY="67"/>
        <w:tblW w:w="509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3"/>
        <w:gridCol w:w="825"/>
        <w:gridCol w:w="1287"/>
        <w:gridCol w:w="1686"/>
        <w:gridCol w:w="2224"/>
        <w:gridCol w:w="25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exact"/>
        </w:trPr>
        <w:tc>
          <w:tcPr>
            <w:tcW w:w="515"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所属专</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业大类</w:t>
            </w:r>
          </w:p>
        </w:tc>
        <w:tc>
          <w:tcPr>
            <w:tcW w:w="458"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所属专</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业类</w:t>
            </w:r>
          </w:p>
        </w:tc>
        <w:tc>
          <w:tcPr>
            <w:tcW w:w="702"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对应行业</w:t>
            </w:r>
          </w:p>
        </w:tc>
        <w:tc>
          <w:tcPr>
            <w:tcW w:w="780"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主要职</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业类别</w:t>
            </w:r>
          </w:p>
        </w:tc>
        <w:tc>
          <w:tcPr>
            <w:tcW w:w="1197"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主要岗位类别</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（或技术领域）</w:t>
            </w:r>
          </w:p>
        </w:tc>
        <w:tc>
          <w:tcPr>
            <w:tcW w:w="1348"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职业资格证书或</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2" w:hRule="exact"/>
        </w:trPr>
        <w:tc>
          <w:tcPr>
            <w:tcW w:w="515"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电子与信息大类51</w:t>
            </w:r>
          </w:p>
        </w:tc>
        <w:tc>
          <w:tcPr>
            <w:tcW w:w="458"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计算机类5102</w:t>
            </w:r>
          </w:p>
        </w:tc>
        <w:tc>
          <w:tcPr>
            <w:tcW w:w="702"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互联网及相关服务64</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互联网安全服务6440</w:t>
            </w:r>
          </w:p>
        </w:tc>
        <w:tc>
          <w:tcPr>
            <w:tcW w:w="780"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网络与信息安全管理员（4-04-04-02）</w:t>
            </w:r>
          </w:p>
        </w:tc>
        <w:tc>
          <w:tcPr>
            <w:tcW w:w="1197"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网络安全系统集成工程师</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网络安全运维工程师</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W</w:t>
            </w:r>
            <w:r>
              <w:rPr>
                <w:rFonts w:cs="Times New Roman" w:asciiTheme="majorEastAsia" w:hAnsiTheme="majorEastAsia" w:eastAsiaTheme="majorEastAsia"/>
                <w:szCs w:val="21"/>
              </w:rPr>
              <w:t>e</w:t>
            </w:r>
            <w:r>
              <w:rPr>
                <w:rFonts w:hint="eastAsia" w:cs="Times New Roman" w:asciiTheme="majorEastAsia" w:hAnsiTheme="majorEastAsia" w:eastAsiaTheme="majorEastAsia"/>
                <w:szCs w:val="21"/>
              </w:rPr>
              <w:t>b安全工程师</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网络安全应急响应工程师</w:t>
            </w:r>
          </w:p>
        </w:tc>
        <w:tc>
          <w:tcPr>
            <w:tcW w:w="1348" w:type="pct"/>
            <w:vAlign w:val="center"/>
          </w:tcPr>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华为认证工程师（HCIA-安全）</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红帽认证工程师（RHCE）</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CISP-PTE渗透测试工程师</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网络安全运维(1+X初级)</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企业网络安全防护(1+X初级)</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企业网络安全防护(1+X中级)</w:t>
            </w:r>
          </w:p>
          <w:p>
            <w:pPr>
              <w:spacing w:after="160"/>
              <w:rPr>
                <w:rFonts w:cs="Times New Roman" w:asciiTheme="majorEastAsia" w:hAnsiTheme="majorEastAsia" w:eastAsiaTheme="majorEastAsia"/>
                <w:szCs w:val="21"/>
              </w:rPr>
            </w:pPr>
            <w:r>
              <w:rPr>
                <w:rFonts w:hint="eastAsia" w:cs="Times New Roman" w:asciiTheme="majorEastAsia" w:hAnsiTheme="majorEastAsia" w:eastAsiaTheme="majorEastAsia"/>
                <w:szCs w:val="21"/>
              </w:rPr>
              <w:t>网络安全应急响应(1+X中级)</w:t>
            </w:r>
          </w:p>
        </w:tc>
      </w:tr>
    </w:tbl>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五、培养目标与培养规格</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（一）培养目标</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本专业培养思想政治坚定，德技并修，德、智、体、美、劳全面发展，具有一定的科学文化水平、良好的职业道德和工匠精神，熟悉安全等级保护和国家信息安全相关法律法规，掌握本专业知识和主流的安全技术技能，有较强的就业能力和可持续发展能力，面向网络集成公司、网络设备厂商、安全设备厂商等互联网企业或者软件与信息服务企业，能够从事数据信息安全系统集成、网络安全运维、Web安全管理与评估、网络安全事件应急响应等工作的高素质技术技能人才。</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（二）培养规格</w:t>
      </w:r>
    </w:p>
    <w:p>
      <w:pPr>
        <w:spacing w:after="160" w:line="259" w:lineRule="auto"/>
        <w:ind w:firstLine="422" w:firstLineChars="200"/>
        <w:rPr>
          <w:rFonts w:cs="Times New Roman" w:asciiTheme="majorEastAsia" w:hAnsiTheme="majorEastAsia" w:eastAsiaTheme="majorEastAsia"/>
          <w:b/>
          <w:szCs w:val="21"/>
        </w:rPr>
      </w:pPr>
      <w:r>
        <w:rPr>
          <w:rFonts w:hint="eastAsia" w:cs="Times New Roman" w:asciiTheme="majorEastAsia" w:hAnsiTheme="majorEastAsia" w:eastAsiaTheme="majorEastAsia"/>
          <w:b/>
          <w:szCs w:val="21"/>
        </w:rPr>
        <w:t>1．素质</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坚定拥护中国共产党领导和我国社会主义制度，</w:t>
      </w:r>
      <w:r>
        <w:rPr>
          <w:rFonts w:hint="eastAsia" w:cs="宋体" w:asciiTheme="majorEastAsia" w:hAnsiTheme="majorEastAsia" w:eastAsiaTheme="majorEastAsia"/>
          <w:spacing w:val="-10"/>
          <w:kern w:val="0"/>
          <w:szCs w:val="21"/>
          <w:lang w:val="zh-CN" w:bidi="zh-CN"/>
        </w:rPr>
        <w:t>热爱社会主义祖国，</w:t>
      </w:r>
      <w:r>
        <w:rPr>
          <w:rFonts w:cs="宋体" w:asciiTheme="majorEastAsia" w:hAnsiTheme="majorEastAsia" w:eastAsiaTheme="majorEastAsia"/>
          <w:spacing w:val="-10"/>
          <w:kern w:val="0"/>
          <w:szCs w:val="21"/>
          <w:lang w:val="zh-CN" w:bidi="zh-CN"/>
        </w:rPr>
        <w:t>在习近平新时代中国特色社会主义思想指引下，</w:t>
      </w:r>
      <w:r>
        <w:rPr>
          <w:rFonts w:hint="eastAsia" w:cs="宋体" w:asciiTheme="majorEastAsia" w:hAnsiTheme="majorEastAsia" w:eastAsiaTheme="majorEastAsia"/>
          <w:spacing w:val="-10"/>
          <w:kern w:val="0"/>
          <w:szCs w:val="21"/>
          <w:lang w:val="zh-CN" w:bidi="zh-CN"/>
        </w:rPr>
        <w:t>准确理解和把握社会主义核心价值观的深刻内涵和实践要求，</w:t>
      </w:r>
      <w:r>
        <w:rPr>
          <w:rFonts w:cs="宋体" w:asciiTheme="majorEastAsia" w:hAnsiTheme="majorEastAsia" w:eastAsiaTheme="majorEastAsia"/>
          <w:spacing w:val="-10"/>
          <w:kern w:val="0"/>
          <w:szCs w:val="21"/>
          <w:lang w:val="zh-CN" w:bidi="zh-CN"/>
        </w:rPr>
        <w:t>践行社会主义核心价值观，具有深厚的爱国情感和中华民族自豪感</w:t>
      </w:r>
      <w:r>
        <w:rPr>
          <w:rFonts w:hint="eastAsia" w:cs="宋体" w:asciiTheme="majorEastAsia" w:hAnsiTheme="majorEastAsia" w:eastAsiaTheme="majorEastAsia"/>
          <w:spacing w:val="-10"/>
          <w:kern w:val="0"/>
          <w:szCs w:val="21"/>
          <w:lang w:val="zh-CN" w:bidi="zh-CN"/>
        </w:rPr>
        <w:t>，具有正确的世界观、人生观、价值观；</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具有健康的体魄、心理和健全的人格，</w:t>
      </w:r>
      <w:r>
        <w:rPr>
          <w:rFonts w:hint="eastAsia" w:cs="宋体" w:asciiTheme="majorEastAsia" w:hAnsiTheme="majorEastAsia" w:eastAsiaTheme="majorEastAsia"/>
          <w:spacing w:val="-10"/>
          <w:kern w:val="0"/>
          <w:szCs w:val="21"/>
          <w:lang w:val="zh-CN" w:bidi="zh-CN"/>
        </w:rPr>
        <w:t>掌握常规体育运动项目的基础知识和基本技能，掌握有关身体健康的知识和健身方法，</w:t>
      </w:r>
      <w:r>
        <w:rPr>
          <w:rFonts w:cs="宋体" w:asciiTheme="majorEastAsia" w:hAnsiTheme="majorEastAsia" w:eastAsiaTheme="majorEastAsia"/>
          <w:spacing w:val="-10"/>
          <w:kern w:val="0"/>
          <w:szCs w:val="21"/>
          <w:lang w:val="zh-CN" w:bidi="zh-CN"/>
        </w:rPr>
        <w:t>养成良好的健身与卫生习惯，以及良好的行为习惯</w:t>
      </w:r>
      <w:r>
        <w:rPr>
          <w:rFonts w:hint="eastAsia" w:cs="宋体" w:asciiTheme="majorEastAsia" w:hAnsiTheme="majorEastAsia" w:eastAsiaTheme="majorEastAsia"/>
          <w:spacing w:val="-10"/>
          <w:kern w:val="0"/>
          <w:szCs w:val="21"/>
          <w:lang w:val="zh-CN" w:bidi="zh-CN"/>
        </w:rPr>
        <w:t>，体能测试基本合格，提高自身心理健康水平，增强自我调适的能力，能正确认识自我，热爱生命，善待他人，增强调控自我、承受挫折、适应环境的能力；</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具有一定的审美</w:t>
      </w:r>
      <w:r>
        <w:rPr>
          <w:rFonts w:hint="eastAsia" w:cs="宋体" w:asciiTheme="majorEastAsia" w:hAnsiTheme="majorEastAsia" w:eastAsiaTheme="majorEastAsia"/>
          <w:spacing w:val="-10"/>
          <w:kern w:val="0"/>
          <w:szCs w:val="21"/>
          <w:lang w:val="zh-CN" w:bidi="zh-CN"/>
        </w:rPr>
        <w:t>、人文素养和文化底蕴，培养沟通交流、阅读理解、应用写作、文学鉴赏，促进学生的专业学习和综合素质提升；</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崇尚宪法、遵法守纪、崇德向善、诚实守信、尊重生命、热爱劳动，履行道德准则和行为规范，具有社会责任感和社会参与意识</w:t>
      </w:r>
      <w:r>
        <w:rPr>
          <w:rFonts w:hint="eastAsia" w:cs="宋体" w:asciiTheme="majorEastAsia" w:hAnsiTheme="majorEastAsia" w:eastAsiaTheme="majorEastAsia"/>
          <w:spacing w:val="-10"/>
          <w:kern w:val="0"/>
          <w:szCs w:val="21"/>
          <w:lang w:val="zh-CN" w:bidi="zh-CN"/>
        </w:rPr>
        <w:t>，树立正确的职业价值观、良好的职业精神、遵守职业法规、坚守职业理想；</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勇于奋斗、乐观向上，具有自我管理能力、职业生涯规划的意识，有较强的集体意识和团队合作精神</w:t>
      </w:r>
      <w:r>
        <w:rPr>
          <w:rFonts w:hint="eastAsia" w:cs="宋体" w:asciiTheme="majorEastAsia" w:hAnsiTheme="majorEastAsia" w:eastAsiaTheme="majorEastAsia"/>
          <w:spacing w:val="-10"/>
          <w:kern w:val="0"/>
          <w:szCs w:val="21"/>
          <w:lang w:val="zh-CN" w:bidi="zh-CN"/>
        </w:rPr>
        <w:t>；</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具有质量意识、环保意识、安全意识、信息素养、工匠精神、创新思维</w:t>
      </w:r>
      <w:r>
        <w:rPr>
          <w:rFonts w:hint="eastAsia" w:cs="宋体" w:asciiTheme="majorEastAsia" w:hAnsiTheme="majorEastAsia" w:eastAsiaTheme="majorEastAsia"/>
          <w:spacing w:val="-10"/>
          <w:kern w:val="0"/>
          <w:szCs w:val="21"/>
          <w:lang w:val="zh-CN" w:bidi="zh-CN"/>
        </w:rPr>
        <w:t>，培养良好的创新精神、创造性思维，促进参与创业实践，提升复合型能力和综合素质。</w:t>
      </w:r>
    </w:p>
    <w:p>
      <w:pPr>
        <w:spacing w:after="160" w:line="259" w:lineRule="auto"/>
        <w:ind w:firstLine="422" w:firstLineChars="200"/>
        <w:rPr>
          <w:rFonts w:cs="Times New Roman" w:asciiTheme="majorEastAsia" w:hAnsiTheme="majorEastAsia" w:eastAsiaTheme="majorEastAsia"/>
          <w:b/>
          <w:szCs w:val="21"/>
        </w:rPr>
      </w:pPr>
      <w:r>
        <w:rPr>
          <w:rFonts w:hint="eastAsia" w:cs="Times New Roman" w:asciiTheme="majorEastAsia" w:hAnsiTheme="majorEastAsia" w:eastAsiaTheme="majorEastAsia"/>
          <w:b/>
          <w:szCs w:val="21"/>
        </w:rPr>
        <w:t>2．知识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掌握必备通识性知识；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达到英语应用能力A 级水平、计算机应用达到计算机等级考试一级水平；</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熟悉信息安全相关法律法规和标准；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掌握计算机系统、信息系统架构、网络拓扑、信息安全理论与安全技术、网络协议的基础知识；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掌握Windows和Linux操作系统方面的知识；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掌握数据库方面知识；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掌握DNS、DHCP和WEB服务器等常用服务器方面的知识；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掌握交换机、路由器、防火墙的常用网络设备方面的知识；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掌握网络安全设备的配置管理等方面的知识；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掌握系统安全架构、信息系统日常检测与维护、网络系统集成、信息系统安全管理知识；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初步掌握信息系统安全测评、渗透测试、应用服务安全加固等方面的知识；</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初步</w:t>
      </w:r>
      <w:r>
        <w:rPr>
          <w:rFonts w:cs="宋体" w:asciiTheme="majorEastAsia" w:hAnsiTheme="majorEastAsia" w:eastAsiaTheme="majorEastAsia"/>
          <w:spacing w:val="-10"/>
          <w:kern w:val="0"/>
          <w:szCs w:val="21"/>
          <w:lang w:val="zh-CN" w:bidi="zh-CN"/>
        </w:rPr>
        <w:t>掌握安全事件分类、应急响应级别、启动、预案、处理等规范</w:t>
      </w:r>
      <w:r>
        <w:rPr>
          <w:rFonts w:hint="eastAsia" w:cs="宋体" w:asciiTheme="majorEastAsia" w:hAnsiTheme="majorEastAsia" w:eastAsiaTheme="majorEastAsia"/>
          <w:spacing w:val="-10"/>
          <w:kern w:val="0"/>
          <w:szCs w:val="21"/>
          <w:lang w:val="zh-CN" w:bidi="zh-CN"/>
        </w:rPr>
        <w:t>；</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熟悉信息安全管理体系、风险管理方法；</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了解常用WEB开发语言，中间件框架，JavaScript框架；</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了解应用开发的基本流程及关键点。</w:t>
      </w:r>
    </w:p>
    <w:p>
      <w:pPr>
        <w:spacing w:after="160" w:line="259" w:lineRule="auto"/>
        <w:ind w:firstLine="422" w:firstLineChars="200"/>
        <w:rPr>
          <w:rFonts w:cs="Times New Roman" w:asciiTheme="majorEastAsia" w:hAnsiTheme="majorEastAsia" w:eastAsiaTheme="majorEastAsia"/>
          <w:b/>
          <w:szCs w:val="21"/>
        </w:rPr>
      </w:pPr>
      <w:r>
        <w:rPr>
          <w:rFonts w:hint="eastAsia" w:cs="Times New Roman" w:asciiTheme="majorEastAsia" w:hAnsiTheme="majorEastAsia" w:eastAsiaTheme="majorEastAsia"/>
          <w:b/>
          <w:szCs w:val="21"/>
        </w:rPr>
        <w:t>3．能力</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能设计、组建、维护与安全管理中小型企业网络；</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能使用网络操作系统、网络管理软件或工具、搭建服务器；</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能安装、配置、调试、维护路由器、交换机、无线设备等网络设备；</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能配置、调试、维护防火墙、VPN、入侵检测等网络安全设备；</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能检测、评估应用服务安全，加固安全服务；</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能集成、安全管理与维护信息系统；</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能撰写工程文件和渗透测试评估工作报告，查阅技术文献；</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能使用至少一种脚本语言（如python、perl、bash）进行开发；</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能使用至少一种开源的渗透测试工具；</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能分析网络数据；</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具备</w:t>
      </w:r>
      <w:r>
        <w:rPr>
          <w:rFonts w:hint="eastAsia" w:cs="宋体" w:asciiTheme="majorEastAsia" w:hAnsiTheme="majorEastAsia" w:eastAsiaTheme="majorEastAsia"/>
          <w:spacing w:val="-10"/>
          <w:kern w:val="0"/>
          <w:szCs w:val="21"/>
          <w:lang w:val="zh-CN" w:bidi="zh-CN"/>
        </w:rPr>
        <w:t>一定的</w:t>
      </w:r>
      <w:r>
        <w:rPr>
          <w:rFonts w:cs="宋体" w:asciiTheme="majorEastAsia" w:hAnsiTheme="majorEastAsia" w:eastAsiaTheme="majorEastAsia"/>
          <w:spacing w:val="-10"/>
          <w:kern w:val="0"/>
          <w:szCs w:val="21"/>
          <w:lang w:val="zh-CN" w:bidi="zh-CN"/>
        </w:rPr>
        <w:t>针对安全事件，编制响应预案，并当事件发生时及时应急响应的能力</w:t>
      </w:r>
      <w:r>
        <w:rPr>
          <w:rFonts w:hint="eastAsia" w:cs="宋体" w:asciiTheme="majorEastAsia" w:hAnsiTheme="majorEastAsia" w:eastAsiaTheme="majorEastAsia"/>
          <w:spacing w:val="-10"/>
          <w:kern w:val="0"/>
          <w:szCs w:val="21"/>
          <w:lang w:val="zh-CN" w:bidi="zh-CN"/>
        </w:rPr>
        <w:t>；</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能进行</w:t>
      </w:r>
      <w:r>
        <w:rPr>
          <w:rFonts w:cs="宋体" w:asciiTheme="majorEastAsia" w:hAnsiTheme="majorEastAsia" w:eastAsiaTheme="majorEastAsia"/>
          <w:spacing w:val="-10"/>
          <w:kern w:val="0"/>
          <w:szCs w:val="21"/>
          <w:lang w:val="zh-CN" w:bidi="zh-CN"/>
        </w:rPr>
        <w:t>探究学习、终身学习、</w:t>
      </w:r>
      <w:r>
        <w:rPr>
          <w:rFonts w:hint="eastAsia" w:cs="宋体" w:asciiTheme="majorEastAsia" w:hAnsiTheme="majorEastAsia" w:eastAsiaTheme="majorEastAsia"/>
          <w:spacing w:val="-10"/>
          <w:kern w:val="0"/>
          <w:szCs w:val="21"/>
          <w:lang w:val="zh-CN" w:bidi="zh-CN"/>
        </w:rPr>
        <w:t>从实践中</w:t>
      </w:r>
      <w:r>
        <w:rPr>
          <w:rFonts w:cs="宋体" w:asciiTheme="majorEastAsia" w:hAnsiTheme="majorEastAsia" w:eastAsiaTheme="majorEastAsia"/>
          <w:spacing w:val="-10"/>
          <w:kern w:val="0"/>
          <w:szCs w:val="21"/>
          <w:lang w:val="zh-CN" w:bidi="zh-CN"/>
        </w:rPr>
        <w:t>分析问题和解决问题</w:t>
      </w:r>
      <w:r>
        <w:rPr>
          <w:rFonts w:hint="eastAsia" w:cs="宋体" w:asciiTheme="majorEastAsia" w:hAnsiTheme="majorEastAsia" w:eastAsiaTheme="majorEastAsia"/>
          <w:spacing w:val="-10"/>
          <w:kern w:val="0"/>
          <w:szCs w:val="21"/>
          <w:lang w:val="zh-CN" w:bidi="zh-CN"/>
        </w:rPr>
        <w:t>；</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能使用</w:t>
      </w:r>
      <w:r>
        <w:rPr>
          <w:rFonts w:cs="宋体" w:asciiTheme="majorEastAsia" w:hAnsiTheme="majorEastAsia" w:eastAsiaTheme="majorEastAsia"/>
          <w:spacing w:val="-10"/>
          <w:kern w:val="0"/>
          <w:szCs w:val="21"/>
          <w:lang w:val="zh-CN" w:bidi="zh-CN"/>
        </w:rPr>
        <w:t>良好的语言、文字</w:t>
      </w:r>
      <w:r>
        <w:rPr>
          <w:rFonts w:hint="eastAsia" w:cs="宋体" w:asciiTheme="majorEastAsia" w:hAnsiTheme="majorEastAsia" w:eastAsiaTheme="majorEastAsia"/>
          <w:spacing w:val="-10"/>
          <w:kern w:val="0"/>
          <w:szCs w:val="21"/>
          <w:lang w:val="zh-CN" w:bidi="zh-CN"/>
        </w:rPr>
        <w:t>进行</w:t>
      </w:r>
      <w:r>
        <w:rPr>
          <w:rFonts w:cs="宋体" w:asciiTheme="majorEastAsia" w:hAnsiTheme="majorEastAsia" w:eastAsiaTheme="majorEastAsia"/>
          <w:spacing w:val="-10"/>
          <w:kern w:val="0"/>
          <w:szCs w:val="21"/>
          <w:lang w:val="zh-CN" w:bidi="zh-CN"/>
        </w:rPr>
        <w:t>表达和沟通</w:t>
      </w:r>
      <w:r>
        <w:rPr>
          <w:rFonts w:hint="eastAsia" w:cs="宋体" w:asciiTheme="majorEastAsia" w:hAnsiTheme="majorEastAsia" w:eastAsiaTheme="majorEastAsia"/>
          <w:spacing w:val="-10"/>
          <w:kern w:val="0"/>
          <w:szCs w:val="21"/>
          <w:lang w:val="zh-CN" w:bidi="zh-CN"/>
        </w:rPr>
        <w:t>；</w:t>
      </w:r>
    </w:p>
    <w:p>
      <w:pPr>
        <w:numPr>
          <w:ilvl w:val="0"/>
          <w:numId w:val="1"/>
        </w:numPr>
        <w:autoSpaceDE w:val="0"/>
        <w:autoSpaceDN w:val="0"/>
        <w:spacing w:after="160" w:line="360" w:lineRule="auto"/>
        <w:ind w:left="0"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能有效进行创业与学习、创新，快速适应岗位迁移。</w:t>
      </w:r>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六、课程设置及要求</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（一）公共基础课程</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公共基础课程包括公共基础必修课程和公共基础选修课程。 公共基础必修课程有：中国特色社会主义、心理健康与职业生涯、哲学与人生、职业道德与法治、形势与政策、互联网+创业实践、思想道德与法治、毛泽东思想和中国特色社会主义理论体系概论、语文、数学、英语、物理、历史、军事理论与训练、信息技术基础、体育、应用文写作、心理健康教育、职业生涯规划与职业指导、大学生安全教育、劳动教育等。公共基础选修课程有：公共艺术选修课、公共通识选修课。</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（二）专业课程</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专业课程包括专业必修课程和专业选修课程，专业必修课程又分为专业基础课程和专业核心课程。</w:t>
      </w:r>
    </w:p>
    <w:p>
      <w:pPr>
        <w:autoSpaceDE w:val="0"/>
        <w:autoSpaceDN w:val="0"/>
        <w:spacing w:line="364" w:lineRule="auto"/>
        <w:ind w:left="719" w:right="-31" w:hanging="24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1．专业基础课程</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专业基础课程包括：计算机系统配置与维护、计算机网络技术、Web前端开发、数据库安全管理、Python程序设计基础、Linux操作系统基础、W</w:t>
      </w:r>
      <w:r>
        <w:rPr>
          <w:rFonts w:cs="宋体" w:asciiTheme="majorEastAsia" w:hAnsiTheme="majorEastAsia" w:eastAsiaTheme="majorEastAsia"/>
          <w:spacing w:val="-10"/>
          <w:kern w:val="0"/>
          <w:szCs w:val="21"/>
          <w:lang w:val="zh-CN" w:bidi="zh-CN"/>
        </w:rPr>
        <w:t>eb</w:t>
      </w:r>
      <w:r>
        <w:rPr>
          <w:rFonts w:hint="eastAsia" w:cs="宋体" w:asciiTheme="majorEastAsia" w:hAnsiTheme="majorEastAsia" w:eastAsiaTheme="majorEastAsia"/>
          <w:spacing w:val="-10"/>
          <w:kern w:val="0"/>
          <w:szCs w:val="21"/>
          <w:lang w:val="zh-CN" w:bidi="zh-CN"/>
        </w:rPr>
        <w:t>应用开发、Python网络编程、企业网络安全防护(初级)、网络攻防技术、网络安全应急响应等。</w:t>
      </w:r>
    </w:p>
    <w:p>
      <w:pPr>
        <w:autoSpaceDE w:val="0"/>
        <w:autoSpaceDN w:val="0"/>
        <w:spacing w:line="364" w:lineRule="auto"/>
        <w:ind w:left="719" w:right="-31" w:hanging="24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2．专业核心课程</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专业核心课程包括：Linux服务与安全管理、网络安全设备配置、渗透测试、WEB服务安全（两学期）、网络系统安全管理、应用服务器加固等。</w:t>
      </w:r>
    </w:p>
    <w:p>
      <w:pPr>
        <w:autoSpaceDE w:val="0"/>
        <w:autoSpaceDN w:val="0"/>
        <w:spacing w:after="160" w:line="259" w:lineRule="auto"/>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表2</w:t>
      </w:r>
      <w:r>
        <w:rPr>
          <w:rFonts w:cs="宋体" w:asciiTheme="majorEastAsia" w:hAnsiTheme="majorEastAsia" w:eastAsiaTheme="majorEastAsia"/>
          <w:b/>
          <w:kern w:val="0"/>
          <w:szCs w:val="21"/>
          <w:lang w:val="zh-CN" w:bidi="zh-CN"/>
        </w:rPr>
        <w:t xml:space="preserve"> </w:t>
      </w:r>
      <w:r>
        <w:rPr>
          <w:rFonts w:hint="eastAsia" w:cs="宋体" w:asciiTheme="majorEastAsia" w:hAnsiTheme="majorEastAsia" w:eastAsiaTheme="majorEastAsia"/>
          <w:b/>
          <w:kern w:val="0"/>
          <w:szCs w:val="21"/>
          <w:lang w:val="zh-CN" w:bidi="zh-CN"/>
        </w:rPr>
        <w:t>专业核心课程主要教学内容</w:t>
      </w:r>
    </w:p>
    <w:tbl>
      <w:tblPr>
        <w:tblStyle w:val="35"/>
        <w:tblW w:w="8481"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982"/>
        <w:gridCol w:w="1516"/>
        <w:gridCol w:w="598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blHeader/>
          <w:jc w:val="center"/>
        </w:trPr>
        <w:tc>
          <w:tcPr>
            <w:tcW w:w="982" w:type="dxa"/>
            <w:tcBorders>
              <w:bottom w:val="single" w:color="auto" w:sz="2" w:space="0"/>
            </w:tcBorders>
            <w:vAlign w:val="center"/>
          </w:tcPr>
          <w:p>
            <w:pPr>
              <w:autoSpaceDE w:val="0"/>
              <w:autoSpaceDN w:val="0"/>
              <w:spacing w:before="62" w:beforeLines="20" w:after="62" w:afterLines="20" w:line="259" w:lineRule="auto"/>
              <w:ind w:left="105" w:leftChars="50" w:right="105" w:rightChars="50"/>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序号</w:t>
            </w:r>
          </w:p>
        </w:tc>
        <w:tc>
          <w:tcPr>
            <w:tcW w:w="1516" w:type="dxa"/>
            <w:vAlign w:val="center"/>
          </w:tcPr>
          <w:p>
            <w:pPr>
              <w:autoSpaceDE w:val="0"/>
              <w:autoSpaceDN w:val="0"/>
              <w:spacing w:before="62" w:beforeLines="20" w:after="62" w:afterLines="20" w:line="259" w:lineRule="auto"/>
              <w:ind w:left="105" w:leftChars="50" w:right="105" w:rightChars="50"/>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课程名称</w:t>
            </w:r>
          </w:p>
        </w:tc>
        <w:tc>
          <w:tcPr>
            <w:tcW w:w="5983" w:type="dxa"/>
            <w:vAlign w:val="center"/>
          </w:tcPr>
          <w:p>
            <w:pPr>
              <w:autoSpaceDE w:val="0"/>
              <w:autoSpaceDN w:val="0"/>
              <w:spacing w:before="62" w:beforeLines="20" w:after="62" w:afterLines="20" w:line="259" w:lineRule="auto"/>
              <w:ind w:left="105" w:leftChars="50" w:right="105" w:rightChars="50"/>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主要教学内容与要求</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982" w:type="dxa"/>
            <w:tcBorders>
              <w:top w:val="single" w:color="auto" w:sz="2" w:space="0"/>
              <w:bottom w:val="single" w:color="auto" w:sz="2" w:space="0"/>
            </w:tcBorders>
            <w:vAlign w:val="center"/>
          </w:tcPr>
          <w:p>
            <w:pPr>
              <w:autoSpaceDE w:val="0"/>
              <w:autoSpaceDN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1</w:t>
            </w:r>
          </w:p>
        </w:tc>
        <w:tc>
          <w:tcPr>
            <w:tcW w:w="1516" w:type="dxa"/>
            <w:vAlign w:val="center"/>
          </w:tcPr>
          <w:p>
            <w:pPr>
              <w:autoSpaceDE w:val="0"/>
              <w:autoSpaceDN w:val="0"/>
              <w:snapToGrid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网络安全设备配置</w:t>
            </w:r>
          </w:p>
        </w:tc>
        <w:tc>
          <w:tcPr>
            <w:tcW w:w="5983" w:type="dxa"/>
            <w:vAlign w:val="center"/>
          </w:tcPr>
          <w:p>
            <w:pPr>
              <w:widowControl/>
              <w:autoSpaceDE w:val="0"/>
              <w:autoSpaceDN w:val="0"/>
              <w:adjustRightInd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主要教学内容：</w:t>
            </w:r>
            <w:r>
              <w:rPr>
                <w:rFonts w:hint="eastAsia" w:cs="宋体" w:asciiTheme="majorEastAsia" w:hAnsiTheme="majorEastAsia" w:eastAsiaTheme="majorEastAsia"/>
                <w:kern w:val="0"/>
                <w:szCs w:val="21"/>
                <w:lang w:val="zh-CN" w:bidi="zh-CN"/>
              </w:rPr>
              <w:t>防火墙一般配置、防火墙的多种工作模式应用，配置防火墙的高可用性、VPN技术分类，VPN产品配置与应用、入侵检测的工作原理，入侵检测类产品的配置与应用、物理隔离产品（网闸类）的配置与应用。</w:t>
            </w:r>
          </w:p>
          <w:p>
            <w:pPr>
              <w:widowControl/>
              <w:autoSpaceDE w:val="0"/>
              <w:autoSpaceDN w:val="0"/>
              <w:adjustRightInd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教学要求：</w:t>
            </w:r>
            <w:r>
              <w:rPr>
                <w:rFonts w:hint="eastAsia" w:cs="宋体" w:asciiTheme="majorEastAsia" w:hAnsiTheme="majorEastAsia" w:eastAsiaTheme="majorEastAsia"/>
                <w:kern w:val="0"/>
                <w:szCs w:val="21"/>
                <w:lang w:val="zh-CN" w:bidi="zh-CN"/>
              </w:rPr>
              <w:t>学生能够掌握网络边界安全设备的安全配置要求，理解防火墙的工作原理及配置策略及各类VPN技术在不同应用场景的配置。</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982" w:type="dxa"/>
            <w:tcBorders>
              <w:top w:val="single" w:color="auto" w:sz="2" w:space="0"/>
              <w:bottom w:val="single" w:color="auto" w:sz="2" w:space="0"/>
            </w:tcBorders>
            <w:vAlign w:val="center"/>
          </w:tcPr>
          <w:p>
            <w:pPr>
              <w:autoSpaceDE w:val="0"/>
              <w:autoSpaceDN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2</w:t>
            </w:r>
          </w:p>
        </w:tc>
        <w:tc>
          <w:tcPr>
            <w:tcW w:w="1516" w:type="dxa"/>
            <w:vAlign w:val="center"/>
          </w:tcPr>
          <w:p>
            <w:pPr>
              <w:autoSpaceDE w:val="0"/>
              <w:autoSpaceDN w:val="0"/>
              <w:snapToGrid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网络系统安全管理</w:t>
            </w:r>
          </w:p>
        </w:tc>
        <w:tc>
          <w:tcPr>
            <w:tcW w:w="5983" w:type="dxa"/>
            <w:vAlign w:val="center"/>
          </w:tcPr>
          <w:p>
            <w:pPr>
              <w:widowControl/>
              <w:autoSpaceDE w:val="0"/>
              <w:autoSpaceDN w:val="0"/>
              <w:adjustRightInd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主要教学内容：</w:t>
            </w:r>
            <w:r>
              <w:rPr>
                <w:rFonts w:hint="eastAsia" w:cs="宋体" w:asciiTheme="majorEastAsia" w:hAnsiTheme="majorEastAsia" w:eastAsiaTheme="majorEastAsia"/>
                <w:kern w:val="0"/>
                <w:szCs w:val="21"/>
                <w:lang w:val="zh-CN" w:bidi="zh-CN"/>
              </w:rPr>
              <w:t>Windows Server系统的安装、 DNS、DHCP服务器的架设与管理、WEB服务器的搭建与配置、FTP的搭建与配置、邮件服务的安装、配置与管理、NTFS权限的应用、域用户和组的管理、磁盘管理，防火墙的基本配置等。</w:t>
            </w:r>
          </w:p>
          <w:p>
            <w:pPr>
              <w:widowControl/>
              <w:autoSpaceDE w:val="0"/>
              <w:autoSpaceDN w:val="0"/>
              <w:adjustRightInd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教学要求：</w:t>
            </w:r>
            <w:r>
              <w:rPr>
                <w:rFonts w:hint="eastAsia" w:cs="宋体" w:asciiTheme="majorEastAsia" w:hAnsiTheme="majorEastAsia" w:eastAsiaTheme="majorEastAsia"/>
                <w:kern w:val="0"/>
                <w:szCs w:val="21"/>
                <w:lang w:val="zh-CN" w:bidi="zh-CN"/>
              </w:rPr>
              <w:t>学生能够比较熟练地运用Windows Server系统组建企业常用服务器，并进行日常管理、服务功能的配置、日常排错以及资源管理。</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982" w:type="dxa"/>
            <w:tcBorders>
              <w:top w:val="single" w:color="auto" w:sz="2" w:space="0"/>
              <w:bottom w:val="single" w:color="auto" w:sz="2" w:space="0"/>
            </w:tcBorders>
            <w:vAlign w:val="center"/>
          </w:tcPr>
          <w:p>
            <w:pPr>
              <w:autoSpaceDE w:val="0"/>
              <w:autoSpaceDN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3</w:t>
            </w:r>
          </w:p>
        </w:tc>
        <w:tc>
          <w:tcPr>
            <w:tcW w:w="1516" w:type="dxa"/>
            <w:vAlign w:val="center"/>
          </w:tcPr>
          <w:p>
            <w:pPr>
              <w:autoSpaceDE w:val="0"/>
              <w:autoSpaceDN w:val="0"/>
              <w:snapToGrid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WEB服务安全</w:t>
            </w:r>
          </w:p>
        </w:tc>
        <w:tc>
          <w:tcPr>
            <w:tcW w:w="5983" w:type="dxa"/>
            <w:vAlign w:val="center"/>
          </w:tcPr>
          <w:p>
            <w:pPr>
              <w:widowControl/>
              <w:autoSpaceDE w:val="0"/>
              <w:autoSpaceDN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主要教学内容：</w:t>
            </w:r>
            <w:r>
              <w:rPr>
                <w:rFonts w:hint="eastAsia" w:cs="宋体" w:asciiTheme="majorEastAsia" w:hAnsiTheme="majorEastAsia" w:eastAsiaTheme="majorEastAsia"/>
                <w:kern w:val="0"/>
                <w:szCs w:val="21"/>
                <w:lang w:val="zh-CN" w:bidi="zh-CN"/>
              </w:rPr>
              <w:t>WEB　OWASPtop10、以典型的WEB应用为例讲解各功能模块存在的安全漏洞，使用何种检测工具，如何对已检出漏洞进行有效预防。</w:t>
            </w:r>
          </w:p>
          <w:p>
            <w:pPr>
              <w:widowControl/>
              <w:autoSpaceDE w:val="0"/>
              <w:autoSpaceDN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教学要求：</w:t>
            </w:r>
            <w:r>
              <w:rPr>
                <w:rFonts w:hint="eastAsia" w:cs="宋体" w:asciiTheme="majorEastAsia" w:hAnsiTheme="majorEastAsia" w:eastAsiaTheme="majorEastAsia"/>
                <w:kern w:val="0"/>
                <w:szCs w:val="21"/>
                <w:lang w:val="zh-CN" w:bidi="zh-CN"/>
              </w:rPr>
              <w:t>学生能够担负起中小型WEB服务器的安全管理工作。熟悉WEB应用中常见的安全漏洞，对WEB应用安全有较为完整的认识，较全面地掌握维护WEB应用安全的管理技能。</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982" w:type="dxa"/>
            <w:tcBorders>
              <w:top w:val="single" w:color="auto" w:sz="2" w:space="0"/>
              <w:bottom w:val="single" w:color="auto" w:sz="2" w:space="0"/>
            </w:tcBorders>
            <w:vAlign w:val="center"/>
          </w:tcPr>
          <w:p>
            <w:pPr>
              <w:autoSpaceDE w:val="0"/>
              <w:autoSpaceDN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4</w:t>
            </w:r>
          </w:p>
        </w:tc>
        <w:tc>
          <w:tcPr>
            <w:tcW w:w="1516" w:type="dxa"/>
            <w:vAlign w:val="center"/>
          </w:tcPr>
          <w:p>
            <w:pPr>
              <w:autoSpaceDE w:val="0"/>
              <w:autoSpaceDN w:val="0"/>
              <w:snapToGrid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渗透测试</w:t>
            </w:r>
          </w:p>
        </w:tc>
        <w:tc>
          <w:tcPr>
            <w:tcW w:w="5983" w:type="dxa"/>
            <w:vAlign w:val="center"/>
          </w:tcPr>
          <w:p>
            <w:pPr>
              <w:widowControl/>
              <w:autoSpaceDE w:val="0"/>
              <w:autoSpaceDN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主要教学内容：</w:t>
            </w:r>
            <w:r>
              <w:rPr>
                <w:rFonts w:hint="eastAsia" w:cs="宋体" w:asciiTheme="majorEastAsia" w:hAnsiTheme="majorEastAsia" w:eastAsiaTheme="majorEastAsia"/>
                <w:kern w:val="0"/>
                <w:szCs w:val="21"/>
                <w:lang w:val="zh-CN" w:bidi="zh-CN"/>
              </w:rPr>
              <w:t>渗透测试的定义与漏洞检测的区别、WEB应用架构分析、owasp top 10、渗透测试的信息收集，漏洞检查，漏洞利用，访问维持及漏洞测试报告的书写规范等。</w:t>
            </w:r>
          </w:p>
          <w:p>
            <w:pPr>
              <w:widowControl/>
              <w:autoSpaceDE w:val="0"/>
              <w:autoSpaceDN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教学要求：</w:t>
            </w:r>
            <w:r>
              <w:rPr>
                <w:rFonts w:hint="eastAsia" w:cs="宋体" w:asciiTheme="majorEastAsia" w:hAnsiTheme="majorEastAsia" w:eastAsiaTheme="majorEastAsia"/>
                <w:kern w:val="0"/>
                <w:szCs w:val="21"/>
                <w:lang w:val="zh-CN" w:bidi="zh-CN"/>
              </w:rPr>
              <w:t>学生能按照信息安全渗透测试基本操作流程，依据渗透测试的四步模型法，能够规范、准确、熟练地完成渗透测试全部流程。</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982" w:type="dxa"/>
            <w:tcBorders>
              <w:top w:val="single" w:color="auto" w:sz="2" w:space="0"/>
              <w:bottom w:val="single" w:color="auto" w:sz="2" w:space="0"/>
            </w:tcBorders>
            <w:vAlign w:val="center"/>
          </w:tcPr>
          <w:p>
            <w:pPr>
              <w:autoSpaceDE w:val="0"/>
              <w:autoSpaceDN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5</w:t>
            </w:r>
          </w:p>
        </w:tc>
        <w:tc>
          <w:tcPr>
            <w:tcW w:w="1516" w:type="dxa"/>
            <w:vAlign w:val="center"/>
          </w:tcPr>
          <w:p>
            <w:pPr>
              <w:autoSpaceDE w:val="0"/>
              <w:autoSpaceDN w:val="0"/>
              <w:snapToGrid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应用服务器加固</w:t>
            </w:r>
          </w:p>
        </w:tc>
        <w:tc>
          <w:tcPr>
            <w:tcW w:w="5983" w:type="dxa"/>
            <w:vAlign w:val="center"/>
          </w:tcPr>
          <w:p>
            <w:pPr>
              <w:widowControl/>
              <w:autoSpaceDE w:val="0"/>
              <w:autoSpaceDN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主要教学内容：</w:t>
            </w:r>
            <w:r>
              <w:rPr>
                <w:rFonts w:hint="eastAsia" w:cs="宋体" w:asciiTheme="majorEastAsia" w:hAnsiTheme="majorEastAsia" w:eastAsiaTheme="majorEastAsia"/>
                <w:kern w:val="0"/>
                <w:szCs w:val="21"/>
                <w:lang w:val="zh-CN" w:bidi="zh-CN"/>
              </w:rPr>
              <w:t>WEB服务器,数据库服务器安全等要注意的核心问题；服务器加固的常用方法；系统的安全加固、IIS加固和系统应用程序加固。</w:t>
            </w:r>
          </w:p>
          <w:p>
            <w:pPr>
              <w:widowControl/>
              <w:autoSpaceDE w:val="0"/>
              <w:autoSpaceDN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教学要求：</w:t>
            </w:r>
            <w:r>
              <w:rPr>
                <w:rFonts w:hint="eastAsia" w:cs="宋体" w:asciiTheme="majorEastAsia" w:hAnsiTheme="majorEastAsia" w:eastAsiaTheme="majorEastAsia"/>
                <w:kern w:val="0"/>
                <w:szCs w:val="21"/>
                <w:lang w:val="zh-CN" w:bidi="zh-CN"/>
              </w:rPr>
              <w:t>学生能够设计本地账户策略，目录权限，系统安全策略，协议栈加强，系统服务和访问控制，本地安全策略设置，IPSec端口过滤等来整体提高服务器的安全性。能有效的提高web站点的安全性，合理分配用户权限，配置相应的安全策略，有效的防止IIS用户溢出提权，针对应用需求配置应用层防火墙过滤应用程序层的攻击。能实施SQL的安全配置以及服务器应用软件的安全加固来提高应用程序的安全性。</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jc w:val="center"/>
        </w:trPr>
        <w:tc>
          <w:tcPr>
            <w:tcW w:w="982" w:type="dxa"/>
            <w:tcBorders>
              <w:top w:val="single" w:color="auto" w:sz="2" w:space="0"/>
              <w:bottom w:val="single" w:color="auto" w:sz="2" w:space="0"/>
            </w:tcBorders>
            <w:vAlign w:val="center"/>
          </w:tcPr>
          <w:p>
            <w:pPr>
              <w:autoSpaceDE w:val="0"/>
              <w:autoSpaceDN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6</w:t>
            </w:r>
          </w:p>
        </w:tc>
        <w:tc>
          <w:tcPr>
            <w:tcW w:w="1516" w:type="dxa"/>
            <w:vAlign w:val="center"/>
          </w:tcPr>
          <w:p>
            <w:pPr>
              <w:autoSpaceDE w:val="0"/>
              <w:autoSpaceDN w:val="0"/>
              <w:snapToGrid w:val="0"/>
              <w:spacing w:after="160" w:line="259"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Linux服务与安全管理</w:t>
            </w:r>
          </w:p>
        </w:tc>
        <w:tc>
          <w:tcPr>
            <w:tcW w:w="5983" w:type="dxa"/>
            <w:vAlign w:val="center"/>
          </w:tcPr>
          <w:p>
            <w:pPr>
              <w:widowControl/>
              <w:autoSpaceDE w:val="0"/>
              <w:autoSpaceDN w:val="0"/>
              <w:adjustRightInd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主要教学</w:t>
            </w:r>
            <w:r>
              <w:rPr>
                <w:rFonts w:cs="宋体" w:asciiTheme="majorEastAsia" w:hAnsiTheme="majorEastAsia" w:eastAsiaTheme="majorEastAsia"/>
                <w:b/>
                <w:bCs/>
                <w:kern w:val="0"/>
                <w:szCs w:val="21"/>
                <w:lang w:val="zh-CN" w:bidi="zh-CN"/>
              </w:rPr>
              <w:t>内容：</w:t>
            </w:r>
            <w:r>
              <w:rPr>
                <w:rFonts w:cs="宋体" w:asciiTheme="majorEastAsia" w:hAnsiTheme="majorEastAsia" w:eastAsiaTheme="majorEastAsia"/>
                <w:kern w:val="0"/>
                <w:szCs w:val="21"/>
                <w:lang w:val="zh-CN" w:bidi="zh-CN"/>
              </w:rPr>
              <w:t>服务器的安全管理、保障数据传输安全、架设CA服务器；能对WEB、FTP服务器进行安全维护，架设SSL网站；PKI公钥基础架构基础知识</w:t>
            </w:r>
            <w:r>
              <w:rPr>
                <w:rFonts w:hint="eastAsia" w:cs="宋体" w:asciiTheme="majorEastAsia" w:hAnsiTheme="majorEastAsia" w:eastAsiaTheme="majorEastAsia"/>
                <w:kern w:val="0"/>
                <w:szCs w:val="21"/>
                <w:lang w:val="zh-CN" w:bidi="zh-CN"/>
              </w:rPr>
              <w:t>，</w:t>
            </w:r>
            <w:r>
              <w:rPr>
                <w:rFonts w:cs="宋体" w:asciiTheme="majorEastAsia" w:hAnsiTheme="majorEastAsia" w:eastAsiaTheme="majorEastAsia"/>
                <w:kern w:val="0"/>
                <w:szCs w:val="21"/>
                <w:lang w:val="zh-CN" w:bidi="zh-CN"/>
              </w:rPr>
              <w:t>申请与签发证书；邮件的数字签名与加密</w:t>
            </w:r>
            <w:r>
              <w:rPr>
                <w:rFonts w:hint="eastAsia" w:cs="宋体" w:asciiTheme="majorEastAsia" w:hAnsiTheme="majorEastAsia" w:eastAsiaTheme="majorEastAsia"/>
                <w:kern w:val="0"/>
                <w:szCs w:val="21"/>
                <w:lang w:val="zh-CN" w:bidi="zh-CN"/>
              </w:rPr>
              <w:t>；</w:t>
            </w:r>
            <w:r>
              <w:rPr>
                <w:rFonts w:cs="宋体" w:asciiTheme="majorEastAsia" w:hAnsiTheme="majorEastAsia" w:eastAsiaTheme="majorEastAsia"/>
                <w:kern w:val="0"/>
                <w:szCs w:val="21"/>
                <w:lang w:val="zh-CN" w:bidi="zh-CN"/>
              </w:rPr>
              <w:t>使用网络管理工具等。</w:t>
            </w:r>
          </w:p>
          <w:p>
            <w:pPr>
              <w:widowControl/>
              <w:autoSpaceDE w:val="0"/>
              <w:autoSpaceDN w:val="0"/>
              <w:adjustRightInd w:val="0"/>
              <w:snapToGrid w:val="0"/>
              <w:spacing w:after="160" w:line="259" w:lineRule="auto"/>
              <w:ind w:left="105" w:leftChars="50" w:right="105" w:rightChars="50" w:firstLine="422" w:firstLineChars="200"/>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b/>
                <w:bCs/>
                <w:kern w:val="0"/>
                <w:szCs w:val="21"/>
                <w:lang w:val="zh-CN" w:bidi="zh-CN"/>
              </w:rPr>
              <w:t>教学</w:t>
            </w:r>
            <w:r>
              <w:rPr>
                <w:rFonts w:cs="宋体" w:asciiTheme="majorEastAsia" w:hAnsiTheme="majorEastAsia" w:eastAsiaTheme="majorEastAsia"/>
                <w:b/>
                <w:bCs/>
                <w:kern w:val="0"/>
                <w:szCs w:val="21"/>
                <w:lang w:val="zh-CN" w:bidi="zh-CN"/>
              </w:rPr>
              <w:t>要求</w:t>
            </w:r>
            <w:r>
              <w:rPr>
                <w:rFonts w:hint="eastAsia" w:cs="宋体" w:asciiTheme="majorEastAsia" w:hAnsiTheme="majorEastAsia" w:eastAsiaTheme="majorEastAsia"/>
                <w:b/>
                <w:bCs/>
                <w:kern w:val="0"/>
                <w:szCs w:val="21"/>
                <w:lang w:val="zh-CN" w:bidi="zh-CN"/>
              </w:rPr>
              <w:t>：</w:t>
            </w:r>
            <w:r>
              <w:rPr>
                <w:rFonts w:cs="宋体" w:asciiTheme="majorEastAsia" w:hAnsiTheme="majorEastAsia" w:eastAsiaTheme="majorEastAsia"/>
                <w:kern w:val="0"/>
                <w:szCs w:val="21"/>
                <w:lang w:val="zh-CN" w:bidi="zh-CN"/>
              </w:rPr>
              <w:t>学生能够进行日常企业工作中的Linux系统安全防护管理工作。对系统安全有一个整体的认识，全方位、立体化的综合掌握系统</w:t>
            </w:r>
            <w:r>
              <w:rPr>
                <w:rFonts w:hint="eastAsia" w:cs="宋体" w:asciiTheme="majorEastAsia" w:hAnsiTheme="majorEastAsia" w:eastAsiaTheme="majorEastAsia"/>
                <w:kern w:val="0"/>
                <w:szCs w:val="21"/>
                <w:lang w:val="zh-CN" w:bidi="zh-CN"/>
              </w:rPr>
              <w:t>平台</w:t>
            </w:r>
            <w:r>
              <w:rPr>
                <w:rFonts w:cs="宋体" w:asciiTheme="majorEastAsia" w:hAnsiTheme="majorEastAsia" w:eastAsiaTheme="majorEastAsia"/>
                <w:kern w:val="0"/>
                <w:szCs w:val="21"/>
                <w:lang w:val="zh-CN" w:bidi="zh-CN"/>
              </w:rPr>
              <w:t>安全管理知识。</w:t>
            </w:r>
          </w:p>
        </w:tc>
      </w:tr>
    </w:tbl>
    <w:p>
      <w:pPr>
        <w:autoSpaceDE w:val="0"/>
        <w:autoSpaceDN w:val="0"/>
        <w:spacing w:line="364" w:lineRule="auto"/>
        <w:ind w:left="719" w:right="-31" w:hanging="24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3．专业选修课程</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选修课程包括：网页设计与制作、网站系统配置与维护、网络设备配置与管理、网络安全运维技术、JavaScript程序设计基础、C语言程序设计基础、安全控制技术、网络存储技术、信息安全等级保护、信息网络布线技术、网络安全方案设计、安全风险管理、云安全技术与应用、虚拟化云技术、Windows系统管理与应用、防火墙与VPN技术、Python安全工具开发、创业创新教育等。</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(三)实践性教学环节</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实践性教学环节主要包括实验、实训、</w:t>
      </w:r>
      <w:r>
        <w:rPr>
          <w:rFonts w:hint="eastAsia" w:cs="宋体" w:asciiTheme="majorEastAsia" w:hAnsiTheme="majorEastAsia" w:eastAsiaTheme="majorEastAsia"/>
          <w:spacing w:val="-10"/>
          <w:kern w:val="0"/>
          <w:szCs w:val="21"/>
          <w:lang w:val="zh-CN" w:bidi="zh-CN"/>
        </w:rPr>
        <w:t>专业实践、认识实习</w:t>
      </w:r>
      <w:r>
        <w:rPr>
          <w:rFonts w:cs="宋体" w:asciiTheme="majorEastAsia" w:hAnsiTheme="majorEastAsia" w:eastAsiaTheme="majorEastAsia"/>
          <w:spacing w:val="-10"/>
          <w:kern w:val="0"/>
          <w:szCs w:val="21"/>
          <w:lang w:val="zh-CN" w:bidi="zh-CN"/>
        </w:rPr>
        <w:t>、</w:t>
      </w:r>
      <w:r>
        <w:rPr>
          <w:rFonts w:hint="eastAsia" w:cs="宋体" w:asciiTheme="majorEastAsia" w:hAnsiTheme="majorEastAsia" w:eastAsiaTheme="majorEastAsia"/>
          <w:spacing w:val="-10"/>
          <w:kern w:val="0"/>
          <w:szCs w:val="21"/>
          <w:lang w:val="zh-CN" w:bidi="zh-CN"/>
        </w:rPr>
        <w:t>岗位实习</w:t>
      </w:r>
      <w:r>
        <w:rPr>
          <w:rFonts w:cs="宋体" w:asciiTheme="majorEastAsia" w:hAnsiTheme="majorEastAsia" w:eastAsiaTheme="majorEastAsia"/>
          <w:spacing w:val="-10"/>
          <w:kern w:val="0"/>
          <w:szCs w:val="21"/>
          <w:lang w:val="zh-CN" w:bidi="zh-CN"/>
        </w:rPr>
        <w:t>等。实验实训可在校内实验室、实训室以及校外实训基地等开展完成；</w:t>
      </w:r>
      <w:r>
        <w:rPr>
          <w:rFonts w:hint="eastAsia" w:cs="宋体" w:asciiTheme="majorEastAsia" w:hAnsiTheme="majorEastAsia" w:eastAsiaTheme="majorEastAsia"/>
          <w:spacing w:val="-10"/>
          <w:kern w:val="0"/>
          <w:szCs w:val="21"/>
          <w:lang w:val="zh-CN" w:bidi="zh-CN"/>
        </w:rPr>
        <w:t>专业实践、</w:t>
      </w:r>
      <w:r>
        <w:rPr>
          <w:rFonts w:cs="宋体" w:asciiTheme="majorEastAsia" w:hAnsiTheme="majorEastAsia" w:eastAsiaTheme="majorEastAsia"/>
          <w:spacing w:val="-10"/>
          <w:kern w:val="0"/>
          <w:szCs w:val="21"/>
          <w:lang w:val="zh-CN" w:bidi="zh-CN"/>
        </w:rPr>
        <w:t>社会实践、跟岗实习、顶岗实习可由学校组织在</w:t>
      </w:r>
      <w:r>
        <w:rPr>
          <w:rFonts w:hint="eastAsia" w:cs="宋体" w:asciiTheme="majorEastAsia" w:hAnsiTheme="majorEastAsia" w:eastAsiaTheme="majorEastAsia"/>
          <w:spacing w:val="-10"/>
          <w:kern w:val="0"/>
          <w:szCs w:val="21"/>
          <w:lang w:val="zh-CN" w:bidi="zh-CN"/>
        </w:rPr>
        <w:t>网络集成公司、网络设备厂商、安全设备厂商等</w:t>
      </w:r>
      <w:r>
        <w:rPr>
          <w:rFonts w:cs="宋体" w:asciiTheme="majorEastAsia" w:hAnsiTheme="majorEastAsia" w:eastAsiaTheme="majorEastAsia"/>
          <w:spacing w:val="-10"/>
          <w:kern w:val="0"/>
          <w:szCs w:val="21"/>
          <w:lang w:val="zh-CN" w:bidi="zh-CN"/>
        </w:rPr>
        <w:t>企业开展完成</w:t>
      </w: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实训实习主要包括</w:t>
      </w:r>
      <w:r>
        <w:rPr>
          <w:rFonts w:hint="eastAsia" w:cs="宋体" w:asciiTheme="majorEastAsia" w:hAnsiTheme="majorEastAsia" w:eastAsiaTheme="majorEastAsia"/>
          <w:spacing w:val="-10"/>
          <w:kern w:val="0"/>
          <w:szCs w:val="21"/>
          <w:lang w:val="zh-CN" w:bidi="zh-CN"/>
        </w:rPr>
        <w:t>计算机网络技术综合实训、Windows系统安全实训、Linux服务安全管理实训、企业网络安全防护(初级)实训、渗透测试实训、企业网络安全防护(中级)实训。</w:t>
      </w:r>
      <w:r>
        <w:rPr>
          <w:rFonts w:cs="宋体" w:asciiTheme="majorEastAsia" w:hAnsiTheme="majorEastAsia" w:eastAsiaTheme="majorEastAsia"/>
          <w:spacing w:val="-10"/>
          <w:kern w:val="0"/>
          <w:szCs w:val="21"/>
          <w:lang w:val="zh-CN" w:bidi="zh-CN"/>
        </w:rPr>
        <w:t>跟岗实习、顶岗实习等应严格执行《职业学校学生实习管理规定》。</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bookmarkStart w:id="5" w:name="bookmark67"/>
      <w:bookmarkEnd w:id="5"/>
      <w:r>
        <w:rPr>
          <w:rFonts w:hint="eastAsia" w:cs="宋体" w:asciiTheme="majorEastAsia" w:hAnsiTheme="majorEastAsia" w:eastAsiaTheme="majorEastAsia"/>
          <w:b/>
          <w:bCs/>
          <w:spacing w:val="-10"/>
          <w:kern w:val="0"/>
          <w:szCs w:val="21"/>
          <w:lang w:val="zh-CN" w:bidi="zh-CN"/>
        </w:rPr>
        <w:t>(四)</w:t>
      </w:r>
      <w:r>
        <w:rPr>
          <w:rFonts w:cs="宋体" w:asciiTheme="majorEastAsia" w:hAnsiTheme="majorEastAsia" w:eastAsiaTheme="majorEastAsia"/>
          <w:b/>
          <w:bCs/>
          <w:spacing w:val="-10"/>
          <w:kern w:val="0"/>
          <w:szCs w:val="21"/>
          <w:lang w:val="zh-CN" w:bidi="zh-CN"/>
        </w:rPr>
        <w:t>相关要求</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学校</w:t>
      </w:r>
      <w:r>
        <w:rPr>
          <w:rFonts w:hint="eastAsia" w:cs="宋体" w:asciiTheme="majorEastAsia" w:hAnsiTheme="majorEastAsia" w:eastAsiaTheme="majorEastAsia"/>
          <w:spacing w:val="-10"/>
          <w:kern w:val="0"/>
          <w:szCs w:val="21"/>
          <w:lang w:val="zh-CN" w:bidi="zh-CN"/>
        </w:rPr>
        <w:t>将</w:t>
      </w:r>
      <w:r>
        <w:rPr>
          <w:rFonts w:cs="宋体" w:asciiTheme="majorEastAsia" w:hAnsiTheme="majorEastAsia" w:eastAsiaTheme="majorEastAsia"/>
          <w:spacing w:val="-10"/>
          <w:kern w:val="0"/>
          <w:szCs w:val="21"/>
          <w:lang w:val="zh-CN" w:bidi="zh-CN"/>
        </w:rPr>
        <w:t>统筹安排各类课程设置，注重</w:t>
      </w:r>
      <w:r>
        <w:rPr>
          <w:rFonts w:hint="eastAsia" w:cs="宋体" w:asciiTheme="majorEastAsia" w:hAnsiTheme="majorEastAsia" w:eastAsiaTheme="majorEastAsia"/>
          <w:spacing w:val="-10"/>
          <w:kern w:val="0"/>
          <w:szCs w:val="21"/>
          <w:lang w:val="zh-CN" w:bidi="zh-CN"/>
        </w:rPr>
        <w:t>Linux服务与安全管理、网络安全设备配置等专业课程</w:t>
      </w:r>
      <w:r>
        <w:rPr>
          <w:rFonts w:cs="宋体" w:asciiTheme="majorEastAsia" w:hAnsiTheme="majorEastAsia" w:eastAsiaTheme="majorEastAsia"/>
          <w:spacing w:val="-10"/>
          <w:kern w:val="0"/>
          <w:szCs w:val="21"/>
          <w:lang w:val="zh-CN" w:bidi="zh-CN"/>
        </w:rPr>
        <w:t>理实一体化教学；结合实际，开设安全教育、社会责任、绿色环保、管理等方面的选修课程、拓展课程或专题讲座（活动），并将有关内容融入专业课程教学；将创新创业教育融入专业课程教学和相关实践性教学；自主开设</w:t>
      </w:r>
      <w:r>
        <w:rPr>
          <w:rFonts w:hint="eastAsia" w:cs="宋体" w:asciiTheme="majorEastAsia" w:hAnsiTheme="majorEastAsia" w:eastAsiaTheme="majorEastAsia"/>
          <w:spacing w:val="-10"/>
          <w:kern w:val="0"/>
          <w:szCs w:val="21"/>
          <w:lang w:val="zh-CN" w:bidi="zh-CN"/>
        </w:rPr>
        <w:t>安全风险管理、安全控制技术、信息安全等级保护等</w:t>
      </w:r>
      <w:r>
        <w:rPr>
          <w:rFonts w:cs="宋体" w:asciiTheme="majorEastAsia" w:hAnsiTheme="majorEastAsia" w:eastAsiaTheme="majorEastAsia"/>
          <w:spacing w:val="-10"/>
          <w:kern w:val="0"/>
          <w:szCs w:val="21"/>
          <w:lang w:val="zh-CN" w:bidi="zh-CN"/>
        </w:rPr>
        <w:t>特色课程；组织开展德育活动、志愿服务活动和其他实践活动</w:t>
      </w:r>
      <w:r>
        <w:rPr>
          <w:rFonts w:hint="eastAsia" w:cs="宋体" w:asciiTheme="majorEastAsia" w:hAnsiTheme="majorEastAsia" w:eastAsiaTheme="majorEastAsia"/>
          <w:spacing w:val="-10"/>
          <w:kern w:val="0"/>
          <w:szCs w:val="21"/>
          <w:lang w:val="zh-CN" w:bidi="zh-CN"/>
        </w:rPr>
        <w:t>。</w:t>
      </w:r>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r>
        <w:rPr>
          <w:rFonts w:hint="eastAsia" w:ascii="黑体" w:hAnsi="黑体" w:eastAsia="黑体" w:cs="等线"/>
          <w:b/>
          <w:bCs/>
          <w:kern w:val="0"/>
          <w:sz w:val="24"/>
          <w:szCs w:val="24"/>
          <w:lang w:val="zh-CN" w:bidi="zh-CN"/>
        </w:rPr>
        <w:t>七、教学进程总体安排</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（一）学时安排</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信息安全技术应用专业的教学活动周进程安排表如下表所示。</w:t>
      </w:r>
    </w:p>
    <w:p>
      <w:pPr>
        <w:snapToGrid w:val="0"/>
        <w:spacing w:line="300" w:lineRule="auto"/>
        <w:jc w:val="center"/>
        <w:rPr>
          <w:rFonts w:ascii="仿宋" w:hAnsi="仿宋" w:eastAsia="仿宋" w:cs="仿宋"/>
          <w:b/>
          <w:bCs/>
          <w:szCs w:val="21"/>
        </w:rPr>
      </w:pPr>
      <w:r>
        <w:rPr>
          <w:rFonts w:hint="eastAsia" w:ascii="宋体" w:hAnsi="宋体" w:eastAsia="宋体" w:cs="宋体"/>
          <w:b/>
          <w:bCs/>
          <w:spacing w:val="-10"/>
          <w:kern w:val="0"/>
          <w:szCs w:val="21"/>
          <w:lang w:val="zh-CN" w:bidi="zh-CN"/>
        </w:rPr>
        <w:t>表3</w:t>
      </w:r>
      <w:r>
        <w:rPr>
          <w:rFonts w:ascii="宋体" w:hAnsi="宋体" w:eastAsia="宋体" w:cs="宋体"/>
          <w:b/>
          <w:bCs/>
          <w:spacing w:val="-10"/>
          <w:kern w:val="0"/>
          <w:szCs w:val="21"/>
          <w:lang w:val="zh-CN" w:bidi="zh-CN"/>
        </w:rPr>
        <w:t xml:space="preserve"> </w:t>
      </w:r>
      <w:r>
        <w:rPr>
          <w:rFonts w:hint="eastAsia" w:ascii="宋体" w:hAnsi="宋体" w:eastAsia="宋体" w:cs="宋体"/>
          <w:b/>
          <w:bCs/>
          <w:spacing w:val="-10"/>
          <w:kern w:val="0"/>
          <w:szCs w:val="21"/>
          <w:lang w:val="zh-CN" w:bidi="zh-CN"/>
        </w:rPr>
        <w:t>教学活动周进程安排表</w:t>
      </w:r>
      <w:r>
        <w:rPr>
          <w:rFonts w:ascii="宋体" w:hAnsi="宋体" w:eastAsia="宋体" w:cs="宋体"/>
          <w:b/>
          <w:bCs/>
          <w:spacing w:val="-10"/>
          <w:kern w:val="0"/>
          <w:szCs w:val="21"/>
          <w:lang w:val="zh-CN" w:bidi="zh-CN"/>
        </w:rPr>
        <w:t xml:space="preserve"> </w:t>
      </w:r>
      <w:r>
        <w:rPr>
          <w:rFonts w:hint="eastAsia" w:ascii="宋体" w:hAnsi="宋体" w:eastAsia="宋体" w:cs="宋体"/>
          <w:b/>
          <w:bCs/>
          <w:spacing w:val="-10"/>
          <w:kern w:val="0"/>
          <w:szCs w:val="21"/>
          <w:lang w:val="zh-CN" w:bidi="zh-CN"/>
        </w:rPr>
        <w:t>（单位：周）</w:t>
      </w:r>
    </w:p>
    <w:tbl>
      <w:tblPr>
        <w:tblStyle w:val="3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793"/>
        <w:gridCol w:w="794"/>
        <w:gridCol w:w="794"/>
        <w:gridCol w:w="1009"/>
        <w:gridCol w:w="794"/>
        <w:gridCol w:w="794"/>
        <w:gridCol w:w="794"/>
        <w:gridCol w:w="794"/>
        <w:gridCol w:w="794"/>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133" w:type="dxa"/>
            <w:tcBorders>
              <w:tl2br w:val="single" w:color="auto" w:sz="4" w:space="0"/>
            </w:tcBorders>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 xml:space="preserve"> </w:t>
            </w:r>
            <w:r>
              <w:rPr>
                <w:rFonts w:ascii="宋体" w:hAnsi="宋体" w:eastAsia="宋体" w:cs="宋体"/>
                <w:b/>
                <w:kern w:val="0"/>
                <w:szCs w:val="21"/>
                <w:lang w:val="zh-CN" w:bidi="zh-CN"/>
              </w:rPr>
              <w:t xml:space="preserve">   </w:t>
            </w:r>
            <w:r>
              <w:rPr>
                <w:rFonts w:hint="eastAsia" w:ascii="宋体" w:hAnsi="宋体" w:eastAsia="宋体" w:cs="宋体"/>
                <w:b/>
                <w:kern w:val="0"/>
                <w:szCs w:val="21"/>
                <w:lang w:val="zh-CN" w:bidi="zh-CN"/>
              </w:rPr>
              <w:t>分类</w:t>
            </w:r>
          </w:p>
          <w:p>
            <w:pPr>
              <w:autoSpaceDE w:val="0"/>
              <w:autoSpaceDN w:val="0"/>
              <w:spacing w:before="9" w:after="160" w:line="259" w:lineRule="auto"/>
              <w:rPr>
                <w:rFonts w:ascii="宋体" w:hAnsi="宋体"/>
                <w:b/>
                <w:bCs/>
                <w:color w:val="000000"/>
                <w:kern w:val="0"/>
                <w:szCs w:val="21"/>
              </w:rPr>
            </w:pPr>
            <w:r>
              <w:rPr>
                <w:rFonts w:hint="eastAsia" w:ascii="宋体" w:hAnsi="宋体" w:eastAsia="宋体" w:cs="宋体"/>
                <w:b/>
                <w:kern w:val="0"/>
                <w:szCs w:val="21"/>
                <w:lang w:val="zh-CN" w:bidi="zh-CN"/>
              </w:rPr>
              <w:t>学期</w:t>
            </w:r>
          </w:p>
        </w:tc>
        <w:tc>
          <w:tcPr>
            <w:tcW w:w="793"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入学教育</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军训</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课堂教学</w:t>
            </w:r>
          </w:p>
        </w:tc>
        <w:tc>
          <w:tcPr>
            <w:tcW w:w="1009"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实训</w:t>
            </w:r>
          </w:p>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（实验）</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实习</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考试</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毕业设计</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机动</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假期</w:t>
            </w:r>
          </w:p>
        </w:tc>
        <w:tc>
          <w:tcPr>
            <w:tcW w:w="794" w:type="dxa"/>
            <w:shd w:val="clear" w:color="auto" w:fill="F2F2F2"/>
            <w:vAlign w:val="center"/>
          </w:tcPr>
          <w:p>
            <w:pPr>
              <w:autoSpaceDE w:val="0"/>
              <w:autoSpaceDN w:val="0"/>
              <w:spacing w:before="9" w:after="160" w:line="259" w:lineRule="auto"/>
              <w:jc w:val="center"/>
              <w:rPr>
                <w:rFonts w:ascii="宋体" w:hAnsi="宋体" w:eastAsia="宋体" w:cs="宋体"/>
                <w:b/>
                <w:kern w:val="0"/>
                <w:szCs w:val="21"/>
                <w:lang w:val="zh-CN" w:bidi="zh-CN"/>
              </w:rPr>
            </w:pPr>
            <w:r>
              <w:rPr>
                <w:rFonts w:hint="eastAsia" w:ascii="宋体" w:hAnsi="宋体" w:eastAsia="宋体" w:cs="宋体"/>
                <w:b/>
                <w:kern w:val="0"/>
                <w:szCs w:val="21"/>
                <w:lang w:val="zh-CN" w:bidi="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第一学期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（1）</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第二学期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8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第三学期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第四学期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8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第五学期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第六学期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8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第七学期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cs="Times New Roman" w:asciiTheme="majorEastAsia" w:hAnsiTheme="majorEastAsia" w:eastAsiaTheme="majorEastAsia"/>
                <w:kern w:val="0"/>
                <w:szCs w:val="21"/>
              </w:rPr>
              <w:t>1</w:t>
            </w:r>
            <w:r>
              <w:rPr>
                <w:rFonts w:hint="eastAsia" w:cs="Times New Roman" w:asciiTheme="majorEastAsia" w:hAnsiTheme="majorEastAsia" w:eastAsiaTheme="majorEastAsia"/>
                <w:kern w:val="0"/>
                <w:szCs w:val="21"/>
              </w:rPr>
              <w:t xml:space="preserve">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（1）</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cs="Times New Roman" w:asciiTheme="majorEastAsia" w:hAnsiTheme="majorEastAsia" w:eastAsiaTheme="majorEastAsia"/>
                <w:color w:val="FF0000"/>
                <w:kern w:val="0"/>
                <w:szCs w:val="21"/>
              </w:rPr>
              <w:t>1</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第八学期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8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第九学期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第十学期</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16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3"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总计</w:t>
            </w:r>
          </w:p>
        </w:tc>
        <w:tc>
          <w:tcPr>
            <w:tcW w:w="793" w:type="dxa"/>
            <w:vAlign w:val="center"/>
          </w:tcPr>
          <w:p>
            <w:pPr>
              <w:spacing w:after="160" w:line="259" w:lineRule="auto"/>
              <w:jc w:val="center"/>
              <w:rPr>
                <w:rFonts w:cs="Times New Roman" w:asciiTheme="majorEastAsia" w:hAnsiTheme="majorEastAsia" w:eastAsiaTheme="majorEastAsia"/>
                <w:kern w:val="0"/>
                <w:szCs w:val="21"/>
              </w:rPr>
            </w:pPr>
            <w:r>
              <w:rPr>
                <w:rFonts w:cs="Times New Roman" w:asciiTheme="majorEastAsia" w:hAnsiTheme="majorEastAsia" w:eastAsiaTheme="majorEastAsia"/>
                <w:kern w:val="0"/>
                <w:szCs w:val="21"/>
              </w:rPr>
              <w:t>2</w:t>
            </w:r>
            <w:r>
              <w:rPr>
                <w:rFonts w:hint="eastAsia" w:cs="Times New Roman" w:asciiTheme="majorEastAsia" w:hAnsiTheme="majorEastAsia" w:eastAsiaTheme="majorEastAsia"/>
                <w:kern w:val="0"/>
                <w:szCs w:val="21"/>
              </w:rPr>
              <w:t xml:space="preserve">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129 </w:t>
            </w:r>
          </w:p>
        </w:tc>
        <w:tc>
          <w:tcPr>
            <w:tcW w:w="1009"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7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40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8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6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cs="Times New Roman" w:asciiTheme="majorEastAsia" w:hAnsiTheme="majorEastAsia" w:eastAsiaTheme="majorEastAsia"/>
                <w:color w:val="FF0000"/>
                <w:kern w:val="0"/>
                <w:szCs w:val="21"/>
              </w:rPr>
              <w:t>8</w:t>
            </w:r>
            <w:r>
              <w:rPr>
                <w:rFonts w:hint="eastAsia" w:cs="Times New Roman" w:asciiTheme="majorEastAsia" w:hAnsiTheme="majorEastAsia" w:eastAsiaTheme="majorEastAsia"/>
                <w:color w:val="FF0000"/>
                <w:kern w:val="0"/>
                <w:szCs w:val="21"/>
              </w:rPr>
              <w:t xml:space="preserve">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 xml:space="preserve">52 </w:t>
            </w:r>
          </w:p>
        </w:tc>
        <w:tc>
          <w:tcPr>
            <w:tcW w:w="794" w:type="dxa"/>
            <w:vAlign w:val="center"/>
          </w:tcPr>
          <w:p>
            <w:pPr>
              <w:spacing w:after="160" w:line="259" w:lineRule="auto"/>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color w:val="FF0000"/>
                <w:kern w:val="0"/>
                <w:szCs w:val="21"/>
              </w:rPr>
              <w:t>25</w:t>
            </w:r>
            <w:r>
              <w:rPr>
                <w:rFonts w:cs="Times New Roman" w:asciiTheme="majorEastAsia" w:hAnsiTheme="majorEastAsia" w:eastAsiaTheme="majorEastAsia"/>
                <w:color w:val="FF0000"/>
                <w:kern w:val="0"/>
                <w:szCs w:val="21"/>
              </w:rPr>
              <w:t>2</w:t>
            </w:r>
          </w:p>
        </w:tc>
      </w:tr>
    </w:tbl>
    <w:p>
      <w:pPr>
        <w:snapToGrid w:val="0"/>
        <w:spacing w:line="300" w:lineRule="auto"/>
        <w:jc w:val="right"/>
        <w:rPr>
          <w:rFonts w:ascii="仿宋" w:hAnsi="仿宋" w:eastAsia="仿宋" w:cs="仿宋"/>
          <w:b/>
          <w:bCs/>
          <w:szCs w:val="21"/>
        </w:rPr>
      </w:pP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（二）教学进程表</w:t>
      </w:r>
    </w:p>
    <w:p>
      <w:pPr>
        <w:autoSpaceDE w:val="0"/>
        <w:autoSpaceDN w:val="0"/>
        <w:spacing w:after="160" w:line="360" w:lineRule="auto"/>
        <w:ind w:firstLine="657" w:firstLineChars="313"/>
        <w:jc w:val="left"/>
        <w:rPr>
          <w:rFonts w:ascii="宋体" w:hAnsi="宋体" w:eastAsia="宋体" w:cs="宋体"/>
          <w:kern w:val="0"/>
          <w:szCs w:val="24"/>
          <w:lang w:val="zh-CN" w:bidi="zh-CN"/>
        </w:rPr>
      </w:pPr>
      <w:r>
        <w:rPr>
          <w:rFonts w:hint="eastAsia" w:ascii="宋体" w:hAnsi="宋体" w:eastAsia="宋体" w:cs="宋体"/>
          <w:kern w:val="0"/>
          <w:szCs w:val="24"/>
          <w:lang w:val="zh-CN" w:bidi="zh-CN"/>
        </w:rPr>
        <w:t>信息安全技术应用专业的专业指导性教学进程表如下表所示。</w:t>
      </w:r>
    </w:p>
    <w:p>
      <w:pPr>
        <w:snapToGrid w:val="0"/>
        <w:spacing w:line="300" w:lineRule="auto"/>
        <w:jc w:val="center"/>
        <w:rPr>
          <w:rFonts w:ascii="Times New Roman" w:hAnsi="Times New Roman" w:eastAsia="宋体" w:cs="宋体"/>
          <w:color w:val="000000" w:themeColor="text1"/>
          <w:szCs w:val="21"/>
          <w14:textFill>
            <w14:solidFill>
              <w14:schemeClr w14:val="tx1"/>
            </w14:solidFill>
          </w14:textFill>
        </w:rPr>
      </w:pPr>
      <w:r>
        <w:rPr>
          <w:rFonts w:hint="eastAsia" w:ascii="黑体" w:hAnsi="黑体" w:eastAsia="黑体" w:cs="Times New Roman"/>
          <w:b/>
          <w:bCs/>
          <w:color w:val="000000" w:themeColor="text1"/>
          <w:szCs w:val="21"/>
          <w14:textFill>
            <w14:solidFill>
              <w14:schemeClr w14:val="tx1"/>
            </w14:solidFill>
          </w14:textFill>
        </w:rPr>
        <w:t>表4</w:t>
      </w:r>
      <w:r>
        <w:rPr>
          <w:rFonts w:ascii="黑体" w:hAnsi="黑体" w:eastAsia="黑体" w:cs="Times New Roman"/>
          <w:b/>
          <w:bCs/>
          <w:color w:val="000000" w:themeColor="text1"/>
          <w:szCs w:val="21"/>
          <w14:textFill>
            <w14:solidFill>
              <w14:schemeClr w14:val="tx1"/>
            </w14:solidFill>
          </w14:textFill>
        </w:rPr>
        <w:t xml:space="preserve"> </w:t>
      </w:r>
      <w:r>
        <w:rPr>
          <w:rFonts w:hint="eastAsia" w:ascii="黑体" w:hAnsi="黑体" w:eastAsia="黑体" w:cs="Times New Roman"/>
          <w:b/>
          <w:bCs/>
          <w:color w:val="000000" w:themeColor="text1"/>
          <w:szCs w:val="21"/>
          <w14:textFill>
            <w14:solidFill>
              <w14:schemeClr w14:val="tx1"/>
            </w14:solidFill>
          </w14:textFill>
        </w:rPr>
        <w:t>202</w:t>
      </w:r>
      <w:r>
        <w:rPr>
          <w:rFonts w:ascii="黑体" w:hAnsi="黑体" w:eastAsia="黑体" w:cs="Times New Roman"/>
          <w:b/>
          <w:bCs/>
          <w:color w:val="000000" w:themeColor="text1"/>
          <w:szCs w:val="21"/>
          <w14:textFill>
            <w14:solidFill>
              <w14:schemeClr w14:val="tx1"/>
            </w14:solidFill>
          </w14:textFill>
        </w:rPr>
        <w:t>2</w:t>
      </w:r>
      <w:r>
        <w:rPr>
          <w:rFonts w:hint="eastAsia" w:ascii="黑体" w:hAnsi="黑体" w:eastAsia="黑体" w:cs="Times New Roman"/>
          <w:b/>
          <w:bCs/>
          <w:color w:val="000000" w:themeColor="text1"/>
          <w:szCs w:val="21"/>
          <w14:textFill>
            <w14:solidFill>
              <w14:schemeClr w14:val="tx1"/>
            </w14:solidFill>
          </w14:textFill>
        </w:rPr>
        <w:t>级信息安全技术应用专业中高职贯通人才培养方案五年教学进度表</w:t>
      </w:r>
    </w:p>
    <w:bookmarkEnd w:id="0"/>
    <w:bookmarkEnd w:id="1"/>
    <w:bookmarkEnd w:id="2"/>
    <w:bookmarkEnd w:id="3"/>
    <w:bookmarkEnd w:id="4"/>
    <w:p>
      <w:pPr>
        <w:spacing w:line="380" w:lineRule="exact"/>
        <w:ind w:firstLine="420" w:firstLineChars="200"/>
        <w:rPr>
          <w:rFonts w:ascii="宋体" w:hAnsi="宋体"/>
          <w:szCs w:val="21"/>
        </w:rPr>
        <w:sectPr>
          <w:footerReference r:id="rId3" w:type="default"/>
          <w:pgSz w:w="11906" w:h="16838"/>
          <w:pgMar w:top="1134" w:right="1418" w:bottom="1134" w:left="1418" w:header="851" w:footer="992" w:gutter="0"/>
          <w:pgNumType w:start="1"/>
          <w:cols w:space="720" w:num="1"/>
          <w:docGrid w:type="lines" w:linePitch="312" w:charSpace="0"/>
        </w:sectPr>
      </w:pPr>
    </w:p>
    <w:tbl>
      <w:tblPr>
        <w:tblStyle w:val="35"/>
        <w:tblW w:w="5000" w:type="pct"/>
        <w:tblInd w:w="0" w:type="dxa"/>
        <w:tblLayout w:type="fixed"/>
        <w:tblCellMar>
          <w:top w:w="0" w:type="dxa"/>
          <w:left w:w="108" w:type="dxa"/>
          <w:bottom w:w="0" w:type="dxa"/>
          <w:right w:w="108" w:type="dxa"/>
        </w:tblCellMar>
      </w:tblPr>
      <w:tblGrid>
        <w:gridCol w:w="639"/>
        <w:gridCol w:w="3184"/>
        <w:gridCol w:w="639"/>
        <w:gridCol w:w="796"/>
        <w:gridCol w:w="640"/>
        <w:gridCol w:w="640"/>
        <w:gridCol w:w="768"/>
        <w:gridCol w:w="768"/>
        <w:gridCol w:w="768"/>
        <w:gridCol w:w="768"/>
        <w:gridCol w:w="768"/>
        <w:gridCol w:w="768"/>
        <w:gridCol w:w="768"/>
        <w:gridCol w:w="768"/>
        <w:gridCol w:w="768"/>
        <w:gridCol w:w="768"/>
      </w:tblGrid>
      <w:tr>
        <w:tblPrEx>
          <w:tblCellMar>
            <w:top w:w="0" w:type="dxa"/>
            <w:left w:w="108" w:type="dxa"/>
            <w:bottom w:w="0" w:type="dxa"/>
            <w:right w:w="108" w:type="dxa"/>
          </w:tblCellMar>
        </w:tblPrEx>
        <w:trPr>
          <w:trHeight w:val="284" w:hRule="atLeast"/>
        </w:trPr>
        <w:tc>
          <w:tcPr>
            <w:tcW w:w="225"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课程</w:t>
            </w:r>
          </w:p>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类别</w:t>
            </w:r>
          </w:p>
        </w:tc>
        <w:tc>
          <w:tcPr>
            <w:tcW w:w="112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课程名称</w:t>
            </w:r>
          </w:p>
        </w:tc>
        <w:tc>
          <w:tcPr>
            <w:tcW w:w="225"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学分</w:t>
            </w:r>
          </w:p>
        </w:tc>
        <w:tc>
          <w:tcPr>
            <w:tcW w:w="28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总学时</w:t>
            </w:r>
          </w:p>
        </w:tc>
        <w:tc>
          <w:tcPr>
            <w:tcW w:w="225"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考试</w:t>
            </w:r>
          </w:p>
        </w:tc>
        <w:tc>
          <w:tcPr>
            <w:tcW w:w="225"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实践</w:t>
            </w:r>
          </w:p>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学时</w:t>
            </w:r>
          </w:p>
        </w:tc>
        <w:tc>
          <w:tcPr>
            <w:tcW w:w="2701" w:type="pct"/>
            <w:gridSpan w:val="10"/>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各学期周数、学分分配</w:t>
            </w:r>
          </w:p>
        </w:tc>
      </w:tr>
      <w:tr>
        <w:tblPrEx>
          <w:tblCellMar>
            <w:top w:w="0" w:type="dxa"/>
            <w:left w:w="108" w:type="dxa"/>
            <w:bottom w:w="0" w:type="dxa"/>
            <w:right w:w="108" w:type="dxa"/>
          </w:tblCellMar>
        </w:tblPrEx>
        <w:trPr>
          <w:trHeight w:val="284" w:hRule="atLeast"/>
        </w:trPr>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8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3</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6</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7</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8</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9</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10</w:t>
            </w:r>
          </w:p>
        </w:tc>
      </w:tr>
      <w:tr>
        <w:tblPrEx>
          <w:tblCellMar>
            <w:top w:w="0" w:type="dxa"/>
            <w:left w:w="108" w:type="dxa"/>
            <w:bottom w:w="0" w:type="dxa"/>
            <w:right w:w="108" w:type="dxa"/>
          </w:tblCellMar>
        </w:tblPrEx>
        <w:trPr>
          <w:trHeight w:val="284" w:hRule="atLeast"/>
        </w:trPr>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80"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25" w:type="pct"/>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18周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16周</w:t>
            </w:r>
          </w:p>
        </w:tc>
      </w:tr>
      <w:tr>
        <w:tblPrEx>
          <w:tblCellMar>
            <w:top w:w="0" w:type="dxa"/>
            <w:left w:w="108" w:type="dxa"/>
            <w:bottom w:w="0" w:type="dxa"/>
            <w:right w:w="108" w:type="dxa"/>
          </w:tblCellMar>
        </w:tblPrEx>
        <w:trPr>
          <w:trHeight w:val="284" w:hRule="atLeast"/>
        </w:trPr>
        <w:tc>
          <w:tcPr>
            <w:tcW w:w="225"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公共基础必修课</w:t>
            </w: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中国特色社会主义</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心理健康与职业生涯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哲学与人生</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职业道德与法治</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形势与政策5</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形势与政策7</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形势与政策8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Calibri" w:hAnsi="Calibri" w:cs="Calibri"/>
                <w:color w:val="FF0000"/>
                <w:sz w:val="18"/>
                <w:szCs w:val="18"/>
              </w:rPr>
              <w:t>0.25</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互联网+创业实践</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思想道德与法治</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3</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毛泽东思想和中国特色社会主义理论体系概论</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语文1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语文2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语文3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语文4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语文5</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数学5</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数学7</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英语5</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英语7</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英语8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历史1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2</w:t>
            </w:r>
            <w:r>
              <w:rPr>
                <w:rFonts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历史2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　</w:t>
            </w:r>
            <w:r>
              <w:rPr>
                <w:rFonts w:hint="eastAsia" w:ascii="黑体" w:hAnsi="黑体" w:eastAsia="黑体" w:cs="宋体"/>
                <w:color w:val="FF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物理1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物理2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军事理论与训练1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w:t>
            </w:r>
            <w:r>
              <w:rPr>
                <w:rFonts w:hint="eastAsia" w:ascii="黑体" w:hAnsi="黑体" w:eastAsia="黑体" w:cs="宋体"/>
                <w:color w:val="000000"/>
                <w:kern w:val="0"/>
                <w:sz w:val="18"/>
                <w:szCs w:val="18"/>
              </w:rPr>
              <w:t>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军事理论与训练2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信息技术基础1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54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3</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信息技术基础2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54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黑体" w:hAnsi="黑体" w:eastAsia="黑体" w:cs="宋体"/>
                <w:color w:val="FF0000"/>
                <w:kern w:val="0"/>
                <w:sz w:val="18"/>
                <w:szCs w:val="18"/>
              </w:rPr>
              <w:t>3</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信息技术基础3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54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3</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信息技术基础4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体育5</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体育7</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体育8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应用文写作</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心理健康教育</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职业生涯规划与职业指导</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大学生安全教育</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劳动教育</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sz w:val="18"/>
                <w:szCs w:val="18"/>
              </w:rPr>
              <w:t>133</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2356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　</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656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23.25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sz w:val="18"/>
                <w:szCs w:val="18"/>
              </w:rPr>
              <w:t>23.25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18.25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sz w:val="18"/>
                <w:szCs w:val="18"/>
              </w:rPr>
              <w:t>17.25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sz w:val="18"/>
                <w:szCs w:val="18"/>
              </w:rPr>
              <w:t>11.25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sz w:val="18"/>
                <w:szCs w:val="18"/>
              </w:rPr>
              <w:t>10.25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sz w:val="18"/>
                <w:szCs w:val="18"/>
              </w:rPr>
              <w:t>14.25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sz w:val="18"/>
                <w:szCs w:val="18"/>
              </w:rPr>
              <w:t>13.25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sz w:val="18"/>
                <w:szCs w:val="18"/>
              </w:rPr>
              <w:t>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kern w:val="0"/>
                <w:sz w:val="18"/>
                <w:szCs w:val="18"/>
              </w:rPr>
            </w:pPr>
            <w:r>
              <w:rPr>
                <w:rFonts w:ascii="Calibri" w:hAnsi="Calibri" w:cs="Calibri"/>
                <w:b/>
                <w:bCs/>
                <w:sz w:val="18"/>
                <w:szCs w:val="18"/>
              </w:rPr>
              <w:t>0</w:t>
            </w:r>
          </w:p>
        </w:tc>
      </w:tr>
      <w:tr>
        <w:tblPrEx>
          <w:tblCellMar>
            <w:top w:w="0" w:type="dxa"/>
            <w:left w:w="108" w:type="dxa"/>
            <w:bottom w:w="0" w:type="dxa"/>
            <w:right w:w="108" w:type="dxa"/>
          </w:tblCellMar>
        </w:tblPrEx>
        <w:trPr>
          <w:trHeight w:val="284" w:hRule="atLeast"/>
        </w:trPr>
        <w:tc>
          <w:tcPr>
            <w:tcW w:w="225"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公共基础选修课</w:t>
            </w: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公共艺术选修课1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FF0000"/>
                <w:kern w:val="0"/>
                <w:sz w:val="18"/>
                <w:szCs w:val="18"/>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公共艺术选修课2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FF0000"/>
                <w:kern w:val="0"/>
                <w:sz w:val="18"/>
                <w:szCs w:val="18"/>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公共通识选修课1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公共通识选修课2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18</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公共通识选修课3</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olor w:val="FF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00B050"/>
                <w:kern w:val="0"/>
                <w:sz w:val="18"/>
                <w:szCs w:val="18"/>
              </w:rPr>
              <w:t>1</w:t>
            </w:r>
            <w:r>
              <w:rPr>
                <w:rFonts w:ascii="黑体" w:hAnsi="黑体" w:eastAsia="黑体" w:cs="宋体"/>
                <w:color w:val="00B050"/>
                <w:kern w:val="0"/>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p>
        </w:tc>
        <w:tc>
          <w:tcPr>
            <w:tcW w:w="1080" w:type="pct"/>
            <w:gridSpan w:val="4"/>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2</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themeColor="text1"/>
                <w:sz w:val="18"/>
                <w:szCs w:val="18"/>
                <w14:textFill>
                  <w14:solidFill>
                    <w14:schemeClr w14:val="tx1"/>
                  </w14:solidFill>
                </w14:textFill>
              </w:rPr>
              <w:t>6</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themeColor="text1"/>
                <w:sz w:val="18"/>
                <w:szCs w:val="18"/>
                <w14:textFill>
                  <w14:solidFill>
                    <w14:schemeClr w14:val="tx1"/>
                  </w14:solidFill>
                </w14:textFill>
              </w:rPr>
              <w:t>104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highlight w:val="yellow"/>
              </w:rPr>
            </w:pPr>
            <w:r>
              <w:rPr>
                <w:rFonts w:ascii="黑体" w:hAnsi="黑体" w:eastAsia="黑体"/>
                <w:b/>
                <w:bCs/>
                <w:sz w:val="18"/>
                <w:szCs w:val="18"/>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FF0000"/>
                <w:sz w:val="18"/>
                <w:szCs w:val="18"/>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themeColor="text1"/>
                <w:sz w:val="18"/>
                <w:szCs w:val="18"/>
                <w14:textFill>
                  <w14:solidFill>
                    <w14:schemeClr w14:val="tx1"/>
                  </w14:solidFill>
                </w14:textFill>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FF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themeColor="text1"/>
                <w:sz w:val="18"/>
                <w:szCs w:val="18"/>
                <w14:textFill>
                  <w14:solidFill>
                    <w14:schemeClr w14:val="tx1"/>
                  </w14:solidFill>
                </w14:textFill>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themeColor="text1"/>
                <w:sz w:val="18"/>
                <w:szCs w:val="18"/>
                <w14:textFill>
                  <w14:solidFill>
                    <w14:schemeClr w14:val="tx1"/>
                  </w14:solidFill>
                </w14:textFill>
              </w:rPr>
              <w:t>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hint="eastAsia" w:ascii="黑体" w:hAnsi="黑体" w:eastAsia="黑体"/>
                <w:b/>
                <w:bCs/>
                <w:color w:val="000000" w:themeColor="text1"/>
                <w:sz w:val="18"/>
                <w:szCs w:val="18"/>
                <w14:textFill>
                  <w14:solidFill>
                    <w14:schemeClr w14:val="tx1"/>
                  </w14:solidFill>
                </w14:textFill>
              </w:rPr>
              <w:t>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p>
        </w:tc>
      </w:tr>
      <w:tr>
        <w:tblPrEx>
          <w:tblCellMar>
            <w:top w:w="0" w:type="dxa"/>
            <w:left w:w="108" w:type="dxa"/>
            <w:bottom w:w="0" w:type="dxa"/>
            <w:right w:w="108" w:type="dxa"/>
          </w:tblCellMar>
        </w:tblPrEx>
        <w:trPr>
          <w:trHeight w:val="284" w:hRule="atLeast"/>
        </w:trPr>
        <w:tc>
          <w:tcPr>
            <w:tcW w:w="225"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专业必修课</w:t>
            </w: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计算机系统配置与维护</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color w:val="000000"/>
                <w:kern w:val="0"/>
                <w:sz w:val="18"/>
                <w:szCs w:val="18"/>
              </w:rPr>
              <w:t>计算机网络技术1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计算机网络技术2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color w:val="00B05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计算机网络技术综合实训</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Web前端开发</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Windows系统安全实训</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数据库安全管理</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54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Python程序设计基础</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Linux操作系统基础</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*Linux服务与安全管理</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Linux服务安全管理实训</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WEB应用开发</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黑体" w:hAnsi="黑体" w:eastAsia="黑体" w:cs="宋体"/>
                <w:color w:val="FF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Python网络编程</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*网络安全设备配置</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企业网络安全防护基础</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olor w:val="FF0000"/>
                <w:sz w:val="18"/>
                <w:szCs w:val="18"/>
              </w:rPr>
              <w:t>企业网络安全防护基础实训</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*渗透测试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渗透测试实训</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1</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30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1周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*WEB服务安全1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*WEB服务安全2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000000"/>
                <w:sz w:val="20"/>
                <w:szCs w:val="20"/>
              </w:rPr>
              <w:t>24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*网络系统安全管理</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网络攻防技术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FF000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网络安全应急响应</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B050"/>
                <w:kern w:val="0"/>
                <w:sz w:val="18"/>
                <w:szCs w:val="18"/>
              </w:rPr>
            </w:pPr>
            <w:r>
              <w:rPr>
                <w:color w:val="00B05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*应用服务器加固</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B050"/>
                <w:kern w:val="0"/>
                <w:sz w:val="18"/>
                <w:szCs w:val="18"/>
              </w:rPr>
            </w:pPr>
            <w:r>
              <w:rPr>
                <w:color w:val="00B050"/>
                <w:sz w:val="20"/>
                <w:szCs w:val="20"/>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职业技能认证实训</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60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60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认识实习</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480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Calibri" w:hAnsi="Calibri" w:cs="Calibri"/>
                <w:color w:val="FF0000"/>
                <w:sz w:val="18"/>
                <w:szCs w:val="18"/>
              </w:rPr>
              <w:t>1周</w:t>
            </w: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　</w:t>
            </w:r>
            <w:r>
              <w:rPr>
                <w:rFonts w:hint="eastAsia" w:ascii="Calibri" w:hAnsi="Calibri" w:cs="Calibri"/>
                <w:color w:val="FF0000"/>
                <w:sz w:val="18"/>
                <w:szCs w:val="18"/>
              </w:rPr>
              <w:t>1周</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Calibri" w:hAnsi="Calibri" w:cs="Calibri"/>
                <w:color w:val="FF0000"/>
                <w:sz w:val="18"/>
                <w:szCs w:val="18"/>
              </w:rPr>
              <w:t>1周</w:t>
            </w: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Calibri" w:hAnsi="Calibri" w:cs="Calibri"/>
                <w:color w:val="FF0000"/>
                <w:sz w:val="18"/>
                <w:szCs w:val="18"/>
              </w:rPr>
              <w:t>1周</w:t>
            </w: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hint="eastAsia" w:ascii="Calibri" w:hAnsi="Calibri" w:cs="Calibri"/>
                <w:color w:val="FF0000"/>
                <w:sz w:val="18"/>
                <w:szCs w:val="18"/>
              </w:rPr>
              <w:t>1周</w:t>
            </w: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　</w:t>
            </w:r>
            <w:r>
              <w:rPr>
                <w:rFonts w:hint="eastAsia" w:ascii="Calibri" w:hAnsi="Calibri" w:cs="Calibri"/>
                <w:color w:val="FF0000"/>
                <w:sz w:val="18"/>
                <w:szCs w:val="18"/>
              </w:rPr>
              <w:t>1周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Calibri" w:hAnsi="Calibri" w:cs="Calibri"/>
                <w:color w:val="FF0000"/>
                <w:sz w:val="18"/>
                <w:szCs w:val="18"/>
              </w:rPr>
              <w:t>1周</w:t>
            </w: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hint="eastAsia" w:ascii="Calibri" w:hAnsi="Calibri" w:cs="Calibri"/>
                <w:color w:val="FF0000"/>
                <w:sz w:val="18"/>
                <w:szCs w:val="18"/>
              </w:rPr>
              <w:t>1周</w:t>
            </w:r>
            <w:r>
              <w:rPr>
                <w:rFonts w:ascii="Calibri" w:hAnsi="Calibri" w:cs="Calibri"/>
                <w:color w:val="FF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8</w:t>
            </w:r>
            <w:r>
              <w:rPr>
                <w:rFonts w:hint="eastAsia" w:cs="Calibri"/>
                <w:color w:val="FF0000"/>
                <w:sz w:val="18"/>
                <w:szCs w:val="18"/>
              </w:rPr>
              <w:t>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FF0000"/>
                <w:kern w:val="0"/>
                <w:sz w:val="18"/>
                <w:szCs w:val="18"/>
              </w:rPr>
            </w:pPr>
            <w:r>
              <w:rPr>
                <w:rFonts w:ascii="Calibri" w:hAnsi="Calibri" w:cs="Calibri"/>
                <w:color w:val="FF000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岗位实习1</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8</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240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240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8</w:t>
            </w:r>
            <w:r>
              <w:rPr>
                <w:rFonts w:hint="eastAsia" w:cs="Calibri"/>
                <w:color w:val="000000"/>
                <w:sz w:val="18"/>
                <w:szCs w:val="18"/>
              </w:rPr>
              <w:t>周</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岗位实习2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16</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480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color w:val="000000"/>
                <w:sz w:val="20"/>
                <w:szCs w:val="20"/>
              </w:rPr>
              <w:t>480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color w:val="000000"/>
                <w:sz w:val="20"/>
                <w:szCs w:val="20"/>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ascii="Calibri" w:hAnsi="Calibri" w:cs="Calibri"/>
                <w:color w:val="000000"/>
                <w:sz w:val="18"/>
                <w:szCs w:val="18"/>
              </w:rPr>
              <w:t>16</w:t>
            </w:r>
            <w:r>
              <w:rPr>
                <w:rFonts w:hint="eastAsia" w:cs="Calibri"/>
                <w:color w:val="000000"/>
                <w:sz w:val="18"/>
                <w:szCs w:val="18"/>
              </w:rPr>
              <w:t>周</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118</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2652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　</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b/>
                <w:bCs/>
                <w:color w:val="FF0000"/>
                <w:sz w:val="18"/>
                <w:szCs w:val="18"/>
              </w:rPr>
            </w:pPr>
            <w:r>
              <w:rPr>
                <w:rFonts w:ascii="Calibri" w:hAnsi="Calibri" w:cs="Calibri"/>
                <w:b/>
                <w:bCs/>
                <w:color w:val="000000"/>
                <w:sz w:val="18"/>
                <w:szCs w:val="18"/>
              </w:rPr>
              <w:t>1754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sz w:val="18"/>
                <w:szCs w:val="18"/>
              </w:rPr>
              <w:t>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kern w:val="0"/>
                <w:sz w:val="18"/>
                <w:szCs w:val="18"/>
              </w:rPr>
            </w:pPr>
            <w:r>
              <w:rPr>
                <w:rFonts w:ascii="Calibri" w:hAnsi="Calibri" w:cs="Calibri"/>
                <w:b/>
                <w:bCs/>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11</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10</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11</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16</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b/>
                <w:bCs/>
                <w:color w:val="000000"/>
                <w:sz w:val="18"/>
                <w:szCs w:val="18"/>
              </w:rPr>
              <w:t>16</w:t>
            </w:r>
          </w:p>
        </w:tc>
      </w:tr>
      <w:tr>
        <w:tblPrEx>
          <w:tblCellMar>
            <w:top w:w="0" w:type="dxa"/>
            <w:left w:w="108" w:type="dxa"/>
            <w:bottom w:w="0" w:type="dxa"/>
            <w:right w:w="108" w:type="dxa"/>
          </w:tblCellMar>
        </w:tblPrEx>
        <w:trPr>
          <w:trHeight w:val="284" w:hRule="atLeast"/>
        </w:trPr>
        <w:tc>
          <w:tcPr>
            <w:tcW w:w="225"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专业</w:t>
            </w:r>
          </w:p>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选修课</w:t>
            </w: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网页设计与制作</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FF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网站系统配置与维护</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网络设备配置与管理</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FF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网络安全运维技术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JavaScript程序设计基础</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C语言程序设计基础</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安全控制技术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网络存储技术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信息安全等级保护</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信息网络布线技术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36</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网络安全方案设计</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16</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安全风险管理</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ascii="黑体" w:hAnsi="黑体" w:eastAsia="黑体" w:cs="宋体"/>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云安全技术与应用</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restart"/>
            <w:tcBorders>
              <w:top w:val="nil"/>
              <w:left w:val="single" w:color="000000" w:sz="8" w:space="0"/>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虚拟化云技术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64</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color w:val="000000"/>
                <w:kern w:val="0"/>
                <w:sz w:val="18"/>
                <w:szCs w:val="18"/>
              </w:rPr>
            </w:pP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Windows系统管理与应用</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noWrap/>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防火墙与VPN技术</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4</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72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考试</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32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4</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noWrap/>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kern w:val="0"/>
                <w:sz w:val="18"/>
                <w:szCs w:val="18"/>
              </w:rPr>
            </w:pPr>
            <w:r>
              <w:rPr>
                <w:rFonts w:hint="eastAsia" w:ascii="黑体" w:hAnsi="黑体" w:eastAsia="黑体" w:cs="宋体"/>
                <w:kern w:val="0"/>
                <w:sz w:val="18"/>
                <w:szCs w:val="18"/>
              </w:rPr>
              <w:t>Python安全工具开发</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24</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xml:space="preserve">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noWrap/>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highlight w:val="yellow"/>
              </w:rPr>
            </w:pPr>
            <w:r>
              <w:rPr>
                <w:rFonts w:hint="eastAsia" w:ascii="黑体" w:hAnsi="黑体" w:eastAsia="黑体" w:cs="宋体"/>
                <w:color w:val="000000"/>
                <w:kern w:val="0"/>
                <w:sz w:val="18"/>
                <w:szCs w:val="18"/>
              </w:rPr>
              <w:t>创业创新教育</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考查</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color w:val="000000"/>
                <w:kern w:val="0"/>
                <w:sz w:val="18"/>
                <w:szCs w:val="18"/>
              </w:rPr>
            </w:pPr>
            <w:r>
              <w:rPr>
                <w:rFonts w:ascii="黑体" w:hAnsi="黑体" w:eastAsia="黑体" w:cs="宋体"/>
                <w:color w:val="000000"/>
                <w:kern w:val="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c>
          <w:tcPr>
            <w:tcW w:w="270" w:type="pct"/>
            <w:tcBorders>
              <w:top w:val="nil"/>
              <w:left w:val="nil"/>
              <w:bottom w:val="single" w:color="000000" w:sz="8" w:space="0"/>
              <w:right w:val="single" w:color="000000" w:sz="8" w:space="0"/>
            </w:tcBorders>
            <w:shd w:val="clear" w:color="000000" w:fill="DAEEF3"/>
            <w:noWrap/>
            <w:vAlign w:val="center"/>
          </w:tcPr>
          <w:p>
            <w:pPr>
              <w:widowControl/>
              <w:jc w:val="center"/>
              <w:rPr>
                <w:rFonts w:ascii="黑体" w:hAnsi="黑体" w:eastAsia="黑体" w:cs="宋体"/>
                <w:color w:val="000000"/>
                <w:kern w:val="0"/>
                <w:sz w:val="18"/>
                <w:szCs w:val="18"/>
              </w:rPr>
            </w:pPr>
            <w:r>
              <w:rPr>
                <w:rFonts w:hint="eastAsia" w:ascii="黑体" w:hAnsi="黑体" w:eastAsia="黑体" w:cs="宋体"/>
                <w:color w:val="000000"/>
                <w:kern w:val="0"/>
                <w:sz w:val="18"/>
                <w:szCs w:val="18"/>
              </w:rPr>
              <w:t>　</w:t>
            </w:r>
          </w:p>
        </w:tc>
      </w:tr>
      <w:tr>
        <w:tblPrEx>
          <w:tblCellMar>
            <w:top w:w="0" w:type="dxa"/>
            <w:left w:w="108" w:type="dxa"/>
            <w:bottom w:w="0" w:type="dxa"/>
            <w:right w:w="108" w:type="dxa"/>
          </w:tblCellMar>
        </w:tblPrEx>
        <w:trPr>
          <w:trHeight w:val="284" w:hRule="atLeast"/>
        </w:trPr>
        <w:tc>
          <w:tcPr>
            <w:tcW w:w="225" w:type="pct"/>
            <w:vMerge w:val="continue"/>
            <w:tcBorders>
              <w:top w:val="nil"/>
              <w:left w:val="single" w:color="000000" w:sz="8" w:space="0"/>
              <w:bottom w:val="single" w:color="000000" w:sz="8" w:space="0"/>
              <w:right w:val="single" w:color="000000" w:sz="8" w:space="0"/>
            </w:tcBorders>
            <w:vAlign w:val="center"/>
          </w:tcPr>
          <w:p>
            <w:pPr>
              <w:widowControl/>
              <w:jc w:val="left"/>
              <w:rPr>
                <w:rFonts w:ascii="黑体" w:hAnsi="黑体" w:eastAsia="黑体" w:cs="宋体"/>
                <w:b/>
                <w:bCs/>
                <w:color w:val="000000"/>
                <w:kern w:val="0"/>
                <w:sz w:val="18"/>
                <w:szCs w:val="18"/>
              </w:rPr>
            </w:pPr>
          </w:p>
        </w:tc>
        <w:tc>
          <w:tcPr>
            <w:tcW w:w="112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小计</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sz w:val="18"/>
                <w:szCs w:val="18"/>
              </w:rPr>
              <w:t>520</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sz w:val="18"/>
                <w:szCs w:val="18"/>
              </w:rPr>
              <w:t>　</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sz w:val="18"/>
                <w:szCs w:val="18"/>
              </w:rPr>
              <w:t>352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8</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6</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color w:val="000000"/>
                <w:sz w:val="18"/>
                <w:szCs w:val="18"/>
              </w:rPr>
              <w:t>2</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8</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0</w:t>
            </w:r>
          </w:p>
        </w:tc>
      </w:tr>
      <w:tr>
        <w:tblPrEx>
          <w:tblCellMar>
            <w:top w:w="0" w:type="dxa"/>
            <w:left w:w="108" w:type="dxa"/>
            <w:bottom w:w="0" w:type="dxa"/>
            <w:right w:w="108" w:type="dxa"/>
          </w:tblCellMar>
        </w:tblPrEx>
        <w:trPr>
          <w:trHeight w:val="284" w:hRule="atLeast"/>
        </w:trPr>
        <w:tc>
          <w:tcPr>
            <w:tcW w:w="1344" w:type="pct"/>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hint="eastAsia" w:ascii="黑体" w:hAnsi="黑体" w:eastAsia="黑体" w:cs="宋体"/>
                <w:b/>
                <w:bCs/>
                <w:color w:val="000000"/>
                <w:kern w:val="0"/>
                <w:sz w:val="18"/>
                <w:szCs w:val="18"/>
              </w:rPr>
              <w:t>合计</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287</w:t>
            </w:r>
          </w:p>
        </w:tc>
        <w:tc>
          <w:tcPr>
            <w:tcW w:w="280"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5632</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黑体" w:hAnsi="黑体" w:eastAsia="黑体" w:cs="宋体"/>
                <w:b/>
                <w:bCs/>
                <w:kern w:val="0"/>
                <w:sz w:val="18"/>
                <w:szCs w:val="18"/>
              </w:rPr>
            </w:pPr>
            <w:r>
              <w:rPr>
                <w:rFonts w:ascii="Calibri" w:hAnsi="Calibri" w:cs="Calibri"/>
                <w:b/>
                <w:bCs/>
                <w:color w:val="FF0000"/>
                <w:sz w:val="18"/>
                <w:szCs w:val="18"/>
              </w:rPr>
              <w:t>　</w:t>
            </w:r>
          </w:p>
        </w:tc>
        <w:tc>
          <w:tcPr>
            <w:tcW w:w="225"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cs="Calibri"/>
                <w:b/>
                <w:bCs/>
                <w:sz w:val="18"/>
                <w:szCs w:val="18"/>
              </w:rPr>
            </w:pPr>
            <w:r>
              <w:rPr>
                <w:rFonts w:ascii="Calibri" w:hAnsi="Calibri" w:cs="Calibri"/>
                <w:b/>
                <w:bCs/>
                <w:color w:val="FF0000"/>
                <w:sz w:val="18"/>
                <w:szCs w:val="18"/>
              </w:rPr>
              <w:t>2810</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30.25</w:t>
            </w:r>
          </w:p>
        </w:tc>
        <w:tc>
          <w:tcPr>
            <w:tcW w:w="270" w:type="pct"/>
            <w:tcBorders>
              <w:top w:val="nil"/>
              <w:left w:val="nil"/>
              <w:bottom w:val="single" w:color="000000" w:sz="8" w:space="0"/>
              <w:right w:val="single" w:color="000000" w:sz="8" w:space="0"/>
            </w:tcBorders>
            <w:shd w:val="clear" w:color="000000" w:fill="FDE9D9"/>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29.25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26.25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rFonts w:ascii="Calibri" w:hAnsi="Calibri" w:cs="Calibri"/>
                <w:b/>
                <w:bCs/>
                <w:color w:val="000000"/>
                <w:sz w:val="18"/>
                <w:szCs w:val="18"/>
              </w:rPr>
              <w:t>32.25</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b/>
                <w:bCs/>
                <w:color w:val="000000"/>
                <w:sz w:val="18"/>
                <w:szCs w:val="18"/>
              </w:rPr>
              <w:t>17</w:t>
            </w:r>
          </w:p>
        </w:tc>
        <w:tc>
          <w:tcPr>
            <w:tcW w:w="270" w:type="pct"/>
            <w:tcBorders>
              <w:top w:val="nil"/>
              <w:left w:val="nil"/>
              <w:bottom w:val="single" w:color="000000" w:sz="8" w:space="0"/>
              <w:right w:val="single" w:color="000000" w:sz="8" w:space="0"/>
            </w:tcBorders>
            <w:shd w:val="clear" w:color="000000" w:fill="DAEEF3"/>
            <w:vAlign w:val="center"/>
          </w:tcPr>
          <w:p>
            <w:pPr>
              <w:widowControl/>
              <w:jc w:val="center"/>
              <w:rPr>
                <w:rFonts w:ascii="黑体" w:hAnsi="黑体" w:eastAsia="黑体" w:cs="宋体"/>
                <w:b/>
                <w:bCs/>
                <w:color w:val="000000"/>
                <w:kern w:val="0"/>
                <w:sz w:val="18"/>
                <w:szCs w:val="18"/>
              </w:rPr>
            </w:pPr>
            <w:r>
              <w:rPr>
                <w:b/>
                <w:bCs/>
                <w:color w:val="000000"/>
                <w:sz w:val="18"/>
                <w:szCs w:val="18"/>
              </w:rPr>
              <w:t>16</w:t>
            </w:r>
          </w:p>
        </w:tc>
      </w:tr>
    </w:tbl>
    <w:p>
      <w:pPr>
        <w:snapToGrid w:val="0"/>
        <w:spacing w:line="300" w:lineRule="auto"/>
        <w:rPr>
          <w:rFonts w:ascii="Times New Roman" w:hAnsi="Times New Roman" w:eastAsia="宋体" w:cs="宋体"/>
          <w:sz w:val="13"/>
          <w:szCs w:val="13"/>
        </w:rPr>
      </w:pPr>
    </w:p>
    <w:p>
      <w:pPr>
        <w:snapToGrid w:val="0"/>
        <w:spacing w:before="156" w:beforeLines="50" w:after="156" w:afterLines="50" w:line="300" w:lineRule="auto"/>
        <w:ind w:firstLine="422"/>
        <w:jc w:val="center"/>
        <w:rPr>
          <w:rFonts w:ascii="仿宋" w:hAnsi="仿宋" w:eastAsia="仿宋" w:cs="Times New Roman"/>
          <w:bCs/>
          <w:color w:val="000000"/>
          <w:szCs w:val="21"/>
        </w:rPr>
      </w:pPr>
    </w:p>
    <w:p>
      <w:pPr>
        <w:spacing w:line="600" w:lineRule="exact"/>
        <w:rPr>
          <w:rFonts w:ascii="仿宋" w:hAnsi="仿宋" w:eastAsia="仿宋" w:cs="仿宋"/>
          <w:bCs/>
          <w:sz w:val="24"/>
        </w:rPr>
        <w:sectPr>
          <w:pgSz w:w="16838" w:h="11906" w:orient="landscape"/>
          <w:pgMar w:top="1814" w:right="1418" w:bottom="1814" w:left="1418" w:header="851" w:footer="992" w:gutter="0"/>
          <w:cols w:space="720" w:num="1"/>
          <w:docGrid w:type="lines" w:linePitch="312" w:charSpace="0"/>
        </w:sectPr>
      </w:pPr>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bookmarkStart w:id="6" w:name="_Toc41385234"/>
      <w:r>
        <w:rPr>
          <w:rFonts w:hint="eastAsia" w:ascii="黑体" w:hAnsi="黑体" w:eastAsia="黑体" w:cs="等线"/>
          <w:b/>
          <w:bCs/>
          <w:kern w:val="0"/>
          <w:sz w:val="24"/>
          <w:szCs w:val="24"/>
          <w:lang w:val="zh-CN" w:bidi="zh-CN"/>
        </w:rPr>
        <w:t>八、实施保障</w:t>
      </w:r>
      <w:bookmarkEnd w:id="6"/>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bookmarkStart w:id="7" w:name="_Toc252263440"/>
      <w:bookmarkStart w:id="8" w:name="_Toc378165569"/>
      <w:bookmarkStart w:id="9" w:name="_Toc378099431"/>
      <w:bookmarkStart w:id="10" w:name="_Toc377475444"/>
      <w:bookmarkStart w:id="11" w:name="_Toc378166644"/>
      <w:bookmarkStart w:id="12" w:name="_Toc41385235"/>
      <w:r>
        <w:rPr>
          <w:rFonts w:hint="eastAsia" w:cs="宋体" w:asciiTheme="majorEastAsia" w:hAnsiTheme="majorEastAsia" w:eastAsiaTheme="majorEastAsia"/>
          <w:b/>
          <w:bCs/>
          <w:spacing w:val="-10"/>
          <w:kern w:val="0"/>
          <w:szCs w:val="21"/>
          <w:lang w:val="zh-CN" w:bidi="zh-CN"/>
        </w:rPr>
        <w:t>（一）师资队伍</w:t>
      </w:r>
      <w:bookmarkEnd w:id="7"/>
      <w:bookmarkEnd w:id="8"/>
      <w:bookmarkEnd w:id="9"/>
      <w:bookmarkEnd w:id="10"/>
      <w:bookmarkEnd w:id="11"/>
      <w:bookmarkEnd w:id="12"/>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1．队伍结构</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学生数与本专业专任教师数比例不高于25 : 1，双师素质教师占专业教师比例一般不低于60%，专任教师队伍要考虑职称、年龄，形成合理的梯队结构。</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2．专任教师</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专任教师应具有高校教师资格；有理想信念、有道德情操、有扎实学识、有仁爱之心； 具有计算机等相关专业本科及以上学历；具有扎实的本专业相关理论功底和实践能力；具有较强信息化教学能力，能够开展课程教学改革和科学研究；有每5年累计不少于6个月的企业实践经历。</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3．专业带头人</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带头人原则上应具有副高及以上职称，能够较好地把握国内外信息安全行业、专业发展，能广泛联系行业企业，了解行业企业对本专业人才的实际需求，教学设计、专业研究能力强，组织开展教科研工作能力强，在本区域或本领域具有一定的专业影响力。</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4．兼职教师</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兼职教师主要从本专业相关的行业企业聘任，具备良好的思想政治素质、职业道德和工 匠精神，具有扎实的专业知识和丰富的实际工作经验，具有中级及以上相关专业职称，能承担专业课程教学、实习实训指导和学生职业发展规划指导等教学任务。</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bookmarkStart w:id="13" w:name="bookmark75"/>
      <w:bookmarkEnd w:id="13"/>
      <w:bookmarkStart w:id="14" w:name="bookmark76"/>
      <w:bookmarkEnd w:id="14"/>
      <w:bookmarkStart w:id="15" w:name="bookmark77"/>
      <w:bookmarkEnd w:id="15"/>
      <w:bookmarkStart w:id="16" w:name="_Toc378099432"/>
      <w:bookmarkStart w:id="17" w:name="_Toc378165570"/>
      <w:bookmarkStart w:id="18" w:name="_Toc378166645"/>
      <w:bookmarkStart w:id="19" w:name="_Toc377475445"/>
      <w:bookmarkStart w:id="20" w:name="_Toc41385236"/>
      <w:r>
        <w:rPr>
          <w:rFonts w:hint="eastAsia" w:cs="宋体" w:asciiTheme="majorEastAsia" w:hAnsiTheme="majorEastAsia" w:eastAsiaTheme="majorEastAsia"/>
          <w:b/>
          <w:bCs/>
          <w:spacing w:val="-10"/>
          <w:kern w:val="0"/>
          <w:szCs w:val="21"/>
          <w:lang w:val="zh-CN" w:bidi="zh-CN"/>
        </w:rPr>
        <w:t>（二）</w:t>
      </w:r>
      <w:bookmarkEnd w:id="16"/>
      <w:bookmarkEnd w:id="17"/>
      <w:bookmarkEnd w:id="18"/>
      <w:bookmarkEnd w:id="19"/>
      <w:r>
        <w:rPr>
          <w:rFonts w:hint="eastAsia" w:cs="宋体" w:asciiTheme="majorEastAsia" w:hAnsiTheme="majorEastAsia" w:eastAsiaTheme="majorEastAsia"/>
          <w:b/>
          <w:bCs/>
          <w:spacing w:val="-10"/>
          <w:kern w:val="0"/>
          <w:szCs w:val="21"/>
          <w:lang w:val="zh-CN" w:bidi="zh-CN"/>
        </w:rPr>
        <w:t>教学设施</w:t>
      </w:r>
      <w:bookmarkEnd w:id="20"/>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1.专业教室基本条件</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专业教室配备黑（白）板、多媒体计算机、投影设备、音响设备，互联网接入或 Wi-Fi环境，并实施网络安全防护措施；安装应急照明装置并保持良好状态，符合紧急疏散 要求，标志明显，保持逃生通道畅通无阻。</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2.实训环境</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职业教育要有效培养学生的职业能力，就必须强化实训、实践环节，加强职业教育与工作体系、工作过程的关联度。</w:t>
      </w:r>
      <w:r>
        <w:rPr>
          <w:rFonts w:hint="eastAsia" w:cs="宋体" w:asciiTheme="majorEastAsia" w:hAnsiTheme="majorEastAsia" w:eastAsiaTheme="majorEastAsia"/>
          <w:spacing w:val="-10"/>
          <w:kern w:val="0"/>
          <w:szCs w:val="21"/>
          <w:lang w:val="zh-CN" w:bidi="zh-CN"/>
        </w:rPr>
        <w:t>学生</w:t>
      </w:r>
      <w:r>
        <w:rPr>
          <w:rFonts w:cs="宋体" w:asciiTheme="majorEastAsia" w:hAnsiTheme="majorEastAsia" w:eastAsiaTheme="majorEastAsia"/>
          <w:spacing w:val="-10"/>
          <w:kern w:val="0"/>
          <w:szCs w:val="21"/>
          <w:lang w:val="zh-CN" w:bidi="zh-CN"/>
        </w:rPr>
        <w:t>在</w:t>
      </w:r>
      <w:r>
        <w:rPr>
          <w:rFonts w:hint="eastAsia" w:cs="宋体" w:asciiTheme="majorEastAsia" w:hAnsiTheme="majorEastAsia" w:eastAsiaTheme="majorEastAsia"/>
          <w:spacing w:val="-10"/>
          <w:kern w:val="0"/>
          <w:szCs w:val="21"/>
          <w:lang w:val="zh-CN" w:bidi="zh-CN"/>
        </w:rPr>
        <w:t>实训</w:t>
      </w:r>
      <w:r>
        <w:rPr>
          <w:rFonts w:cs="宋体" w:asciiTheme="majorEastAsia" w:hAnsiTheme="majorEastAsia" w:eastAsiaTheme="majorEastAsia"/>
          <w:spacing w:val="-10"/>
          <w:kern w:val="0"/>
          <w:szCs w:val="21"/>
          <w:lang w:val="zh-CN" w:bidi="zh-CN"/>
        </w:rPr>
        <w:t>实践中</w:t>
      </w:r>
      <w:r>
        <w:rPr>
          <w:rFonts w:hint="eastAsia" w:cs="宋体" w:asciiTheme="majorEastAsia" w:hAnsiTheme="majorEastAsia" w:eastAsiaTheme="majorEastAsia"/>
          <w:spacing w:val="-10"/>
          <w:kern w:val="0"/>
          <w:szCs w:val="21"/>
          <w:lang w:val="zh-CN" w:bidi="zh-CN"/>
        </w:rPr>
        <w:t>掌握相应的专业技能，</w:t>
      </w:r>
      <w:r>
        <w:rPr>
          <w:rFonts w:cs="宋体" w:asciiTheme="majorEastAsia" w:hAnsiTheme="majorEastAsia" w:eastAsiaTheme="majorEastAsia"/>
          <w:spacing w:val="-10"/>
          <w:kern w:val="0"/>
          <w:szCs w:val="21"/>
          <w:lang w:val="zh-CN" w:bidi="zh-CN"/>
        </w:rPr>
        <w:t>提高适应职业岗位要求的能力，缩短从学校教育到实际工作岗位的距离</w:t>
      </w:r>
      <w:r>
        <w:rPr>
          <w:rFonts w:hint="eastAsia" w:cs="宋体" w:asciiTheme="majorEastAsia" w:hAnsiTheme="majorEastAsia" w:eastAsiaTheme="majorEastAsia"/>
          <w:spacing w:val="-10"/>
          <w:kern w:val="0"/>
          <w:szCs w:val="21"/>
          <w:lang w:val="zh-CN" w:bidi="zh-CN"/>
        </w:rPr>
        <w:t>。作为两校共享的实训基地，上海市行政管理学校具有功能完善的计算机信息技术实训中心，上海电子信息职业技术学院具有专业的信息安全专业实训室。</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21" w:name="_Toc402879275"/>
      <w:bookmarkStart w:id="22" w:name="_Toc404550149"/>
      <w:bookmarkStart w:id="23" w:name="_Toc403686991"/>
      <w:r>
        <w:rPr>
          <w:rFonts w:hint="eastAsia" w:cs="宋体" w:asciiTheme="majorEastAsia" w:hAnsiTheme="majorEastAsia" w:eastAsiaTheme="majorEastAsia"/>
          <w:spacing w:val="-10"/>
          <w:kern w:val="0"/>
          <w:szCs w:val="21"/>
          <w:lang w:val="zh-CN" w:bidi="zh-CN"/>
        </w:rPr>
        <w:t>（1）上海市行政管理学校计算机信息技术实训中心实训室</w:t>
      </w:r>
      <w:bookmarkEnd w:id="21"/>
      <w:bookmarkEnd w:id="22"/>
      <w:bookmarkEnd w:id="23"/>
    </w:p>
    <w:p>
      <w:pPr>
        <w:autoSpaceDE w:val="0"/>
        <w:autoSpaceDN w:val="0"/>
        <w:spacing w:after="160" w:line="360" w:lineRule="auto"/>
        <w:ind w:firstLine="425"/>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表5</w:t>
      </w:r>
      <w:r>
        <w:rPr>
          <w:rFonts w:cs="宋体" w:asciiTheme="majorEastAsia" w:hAnsiTheme="majorEastAsia" w:eastAsiaTheme="majorEastAsia"/>
          <w:b/>
          <w:kern w:val="0"/>
          <w:szCs w:val="21"/>
          <w:lang w:val="zh-CN" w:bidi="zh-CN"/>
        </w:rPr>
        <w:t xml:space="preserve"> </w:t>
      </w:r>
      <w:r>
        <w:rPr>
          <w:rFonts w:hint="eastAsia" w:cs="宋体" w:asciiTheme="majorEastAsia" w:hAnsiTheme="majorEastAsia" w:eastAsiaTheme="majorEastAsia"/>
          <w:b/>
          <w:kern w:val="0"/>
          <w:szCs w:val="21"/>
          <w:lang w:val="zh-CN" w:bidi="zh-CN"/>
        </w:rPr>
        <w:t>计算机信息技术实训中心实训室表</w:t>
      </w:r>
    </w:p>
    <w:tbl>
      <w:tblPr>
        <w:tblStyle w:val="35"/>
        <w:tblW w:w="905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28" w:type="dxa"/>
          <w:bottom w:w="0" w:type="dxa"/>
          <w:right w:w="28" w:type="dxa"/>
        </w:tblCellMar>
      </w:tblPr>
      <w:tblGrid>
        <w:gridCol w:w="1921"/>
        <w:gridCol w:w="6284"/>
        <w:gridCol w:w="8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454" w:hRule="atLeast"/>
          <w:tblHeader/>
          <w:jc w:val="center"/>
        </w:trPr>
        <w:tc>
          <w:tcPr>
            <w:tcW w:w="1921" w:type="dxa"/>
            <w:vAlign w:val="center"/>
          </w:tcPr>
          <w:p>
            <w:pPr>
              <w:widowControl/>
              <w:spacing w:after="160" w:line="360" w:lineRule="auto"/>
              <w:ind w:left="105" w:leftChars="50" w:right="105" w:rightChars="50"/>
              <w:jc w:val="center"/>
              <w:rPr>
                <w:rFonts w:cs="Times New Roman" w:asciiTheme="majorEastAsia" w:hAnsiTheme="majorEastAsia" w:eastAsiaTheme="majorEastAsia"/>
                <w:b/>
                <w:kern w:val="0"/>
                <w:szCs w:val="21"/>
              </w:rPr>
            </w:pPr>
            <w:r>
              <w:rPr>
                <w:rFonts w:hint="eastAsia" w:cs="Times New Roman" w:asciiTheme="majorEastAsia" w:hAnsiTheme="majorEastAsia" w:eastAsiaTheme="majorEastAsia"/>
                <w:b/>
                <w:kern w:val="0"/>
                <w:szCs w:val="21"/>
              </w:rPr>
              <w:t>实训室名称</w:t>
            </w:r>
          </w:p>
        </w:tc>
        <w:tc>
          <w:tcPr>
            <w:tcW w:w="6284" w:type="dxa"/>
            <w:vAlign w:val="center"/>
          </w:tcPr>
          <w:p>
            <w:pPr>
              <w:widowControl/>
              <w:spacing w:after="160" w:line="360" w:lineRule="auto"/>
              <w:ind w:left="105" w:leftChars="50" w:right="105" w:rightChars="50"/>
              <w:jc w:val="center"/>
              <w:rPr>
                <w:rFonts w:cs="Times New Roman" w:asciiTheme="majorEastAsia" w:hAnsiTheme="majorEastAsia" w:eastAsiaTheme="majorEastAsia"/>
                <w:b/>
                <w:kern w:val="0"/>
                <w:szCs w:val="21"/>
              </w:rPr>
            </w:pPr>
            <w:r>
              <w:rPr>
                <w:rFonts w:hint="eastAsia" w:cs="Times New Roman" w:asciiTheme="majorEastAsia" w:hAnsiTheme="majorEastAsia" w:eastAsiaTheme="majorEastAsia"/>
                <w:b/>
                <w:kern w:val="0"/>
                <w:szCs w:val="21"/>
              </w:rPr>
              <w:t>实训内容</w:t>
            </w:r>
          </w:p>
        </w:tc>
        <w:tc>
          <w:tcPr>
            <w:tcW w:w="851" w:type="dxa"/>
            <w:vAlign w:val="center"/>
          </w:tcPr>
          <w:p>
            <w:pPr>
              <w:widowControl/>
              <w:spacing w:after="160" w:line="360" w:lineRule="auto"/>
              <w:ind w:left="105" w:leftChars="50" w:right="105" w:rightChars="50"/>
              <w:jc w:val="center"/>
              <w:rPr>
                <w:rFonts w:cs="Times New Roman" w:asciiTheme="majorEastAsia" w:hAnsiTheme="majorEastAsia" w:eastAsiaTheme="majorEastAsia"/>
                <w:b/>
                <w:kern w:val="0"/>
                <w:szCs w:val="21"/>
              </w:rPr>
            </w:pPr>
            <w:r>
              <w:rPr>
                <w:rFonts w:hint="eastAsia" w:cs="Times New Roman" w:asciiTheme="majorEastAsia" w:hAnsiTheme="majorEastAsia" w:eastAsiaTheme="majorEastAsia"/>
                <w:b/>
                <w:kern w:val="0"/>
                <w:szCs w:val="21"/>
              </w:rPr>
              <w:t>工位数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454" w:hRule="atLeast"/>
          <w:tblHeader/>
          <w:jc w:val="center"/>
        </w:trPr>
        <w:tc>
          <w:tcPr>
            <w:tcW w:w="192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网络安全管理实训室（H3C设备）</w:t>
            </w:r>
          </w:p>
        </w:tc>
        <w:tc>
          <w:tcPr>
            <w:tcW w:w="6284" w:type="dxa"/>
            <w:vAlign w:val="center"/>
          </w:tcPr>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网络设备的基础配置（接口，地址，网关，设备名称，设备基本信息）</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基础路由协议的配置（静态路由、RIP路由协议，ospf路由协议）</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配置交换机VLAN,生成树配置</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无线控制器配置（瘦AP、胖AP、无线加密协议配置）</w:t>
            </w:r>
          </w:p>
        </w:tc>
        <w:tc>
          <w:tcPr>
            <w:tcW w:w="85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blHeader/>
          <w:jc w:val="center"/>
        </w:trPr>
        <w:tc>
          <w:tcPr>
            <w:tcW w:w="192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综合布线实训室</w:t>
            </w:r>
          </w:p>
        </w:tc>
        <w:tc>
          <w:tcPr>
            <w:tcW w:w="6284" w:type="dxa"/>
            <w:vAlign w:val="center"/>
          </w:tcPr>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cs="Times New Roman" w:asciiTheme="majorEastAsia" w:hAnsiTheme="majorEastAsia" w:eastAsiaTheme="majorEastAsia"/>
                <w:kern w:val="0"/>
                <w:szCs w:val="21"/>
              </w:rPr>
              <w:t>各种电缆、光纤测试分析，对新安装的布线系统和网络系统进行验收认证测试</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cs="Times New Roman" w:asciiTheme="majorEastAsia" w:hAnsiTheme="majorEastAsia" w:eastAsiaTheme="majorEastAsia"/>
                <w:kern w:val="0"/>
                <w:szCs w:val="21"/>
              </w:rPr>
              <w:t>光纤、光缆尾纤连接方法训练</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各种管线的安装、布线训练</w:t>
            </w:r>
          </w:p>
        </w:tc>
        <w:tc>
          <w:tcPr>
            <w:tcW w:w="85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545" w:hRule="atLeast"/>
          <w:tblHeader/>
          <w:jc w:val="center"/>
        </w:trPr>
        <w:tc>
          <w:tcPr>
            <w:tcW w:w="192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计算机组装与维护实训室</w:t>
            </w:r>
          </w:p>
        </w:tc>
        <w:tc>
          <w:tcPr>
            <w:tcW w:w="6284" w:type="dxa"/>
            <w:vAlign w:val="center"/>
          </w:tcPr>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Windows系统加固</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网络系统检测</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系统检测报告的撰写</w:t>
            </w:r>
          </w:p>
        </w:tc>
        <w:tc>
          <w:tcPr>
            <w:tcW w:w="85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454" w:hRule="atLeast"/>
          <w:tblHeader/>
          <w:jc w:val="center"/>
        </w:trPr>
        <w:tc>
          <w:tcPr>
            <w:tcW w:w="192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计算机应用实训室</w:t>
            </w:r>
          </w:p>
        </w:tc>
        <w:tc>
          <w:tcPr>
            <w:tcW w:w="6284" w:type="dxa"/>
            <w:vAlign w:val="center"/>
          </w:tcPr>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软件的应用（office软件、编程、平面设计类）</w:t>
            </w:r>
          </w:p>
        </w:tc>
        <w:tc>
          <w:tcPr>
            <w:tcW w:w="85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48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545" w:hRule="atLeast"/>
          <w:tblHeader/>
          <w:jc w:val="center"/>
        </w:trPr>
        <w:tc>
          <w:tcPr>
            <w:tcW w:w="192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虚拟化实训室</w:t>
            </w:r>
          </w:p>
        </w:tc>
        <w:tc>
          <w:tcPr>
            <w:tcW w:w="6284" w:type="dxa"/>
            <w:vAlign w:val="center"/>
          </w:tcPr>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部署</w:t>
            </w:r>
            <w:r>
              <w:rPr>
                <w:rFonts w:cs="Times New Roman" w:asciiTheme="majorEastAsia" w:hAnsiTheme="majorEastAsia" w:eastAsiaTheme="majorEastAsia"/>
                <w:kern w:val="0"/>
                <w:szCs w:val="21"/>
              </w:rPr>
              <w:t>云计算网络</w:t>
            </w:r>
            <w:r>
              <w:rPr>
                <w:rFonts w:hint="eastAsia" w:cs="Times New Roman" w:asciiTheme="majorEastAsia" w:hAnsiTheme="majorEastAsia" w:eastAsiaTheme="majorEastAsia"/>
                <w:kern w:val="0"/>
                <w:szCs w:val="21"/>
              </w:rPr>
              <w:t>、</w:t>
            </w:r>
            <w:r>
              <w:rPr>
                <w:rFonts w:cs="Times New Roman" w:asciiTheme="majorEastAsia" w:hAnsiTheme="majorEastAsia" w:eastAsiaTheme="majorEastAsia"/>
                <w:kern w:val="0"/>
                <w:szCs w:val="21"/>
              </w:rPr>
              <w:t>云计算存储</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部署</w:t>
            </w:r>
            <w:r>
              <w:rPr>
                <w:rFonts w:cs="Times New Roman" w:asciiTheme="majorEastAsia" w:hAnsiTheme="majorEastAsia" w:eastAsiaTheme="majorEastAsia"/>
                <w:kern w:val="0"/>
                <w:szCs w:val="21"/>
              </w:rPr>
              <w:t>云计算服务器</w:t>
            </w:r>
            <w:r>
              <w:rPr>
                <w:rFonts w:hint="eastAsia" w:cs="Times New Roman" w:asciiTheme="majorEastAsia" w:hAnsiTheme="majorEastAsia" w:eastAsiaTheme="majorEastAsia"/>
                <w:kern w:val="0"/>
                <w:szCs w:val="21"/>
              </w:rPr>
              <w:t>、</w:t>
            </w:r>
            <w:r>
              <w:rPr>
                <w:rFonts w:cs="Times New Roman" w:asciiTheme="majorEastAsia" w:hAnsiTheme="majorEastAsia" w:eastAsiaTheme="majorEastAsia"/>
                <w:kern w:val="0"/>
                <w:szCs w:val="21"/>
              </w:rPr>
              <w:t>云计算虚拟化平台</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部署</w:t>
            </w:r>
            <w:r>
              <w:rPr>
                <w:rFonts w:cs="Times New Roman" w:asciiTheme="majorEastAsia" w:hAnsiTheme="majorEastAsia" w:eastAsiaTheme="majorEastAsia"/>
                <w:kern w:val="0"/>
                <w:szCs w:val="21"/>
              </w:rPr>
              <w:t>云资源</w:t>
            </w:r>
            <w:r>
              <w:rPr>
                <w:rFonts w:hint="eastAsia" w:cs="Times New Roman" w:asciiTheme="majorEastAsia" w:hAnsiTheme="majorEastAsia" w:eastAsiaTheme="majorEastAsia"/>
                <w:kern w:val="0"/>
                <w:szCs w:val="21"/>
              </w:rPr>
              <w:t>、管理虚拟机、部署</w:t>
            </w:r>
            <w:r>
              <w:rPr>
                <w:rFonts w:cs="Times New Roman" w:asciiTheme="majorEastAsia" w:hAnsiTheme="majorEastAsia" w:eastAsiaTheme="majorEastAsia"/>
                <w:kern w:val="0"/>
                <w:szCs w:val="21"/>
              </w:rPr>
              <w:t>EVB</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部署</w:t>
            </w:r>
            <w:r>
              <w:rPr>
                <w:rFonts w:cs="Times New Roman" w:asciiTheme="majorEastAsia" w:hAnsiTheme="majorEastAsia" w:eastAsiaTheme="majorEastAsia"/>
                <w:kern w:val="0"/>
                <w:szCs w:val="21"/>
              </w:rPr>
              <w:t>高可用性环境</w:t>
            </w:r>
            <w:r>
              <w:rPr>
                <w:rFonts w:hint="eastAsia" w:cs="Times New Roman" w:asciiTheme="majorEastAsia" w:hAnsiTheme="majorEastAsia" w:eastAsiaTheme="majorEastAsia"/>
                <w:kern w:val="0"/>
                <w:szCs w:val="21"/>
              </w:rPr>
              <w:t>、部署</w:t>
            </w:r>
            <w:r>
              <w:rPr>
                <w:rFonts w:cs="Times New Roman" w:asciiTheme="majorEastAsia" w:hAnsiTheme="majorEastAsia" w:eastAsiaTheme="majorEastAsia"/>
                <w:kern w:val="0"/>
                <w:szCs w:val="21"/>
              </w:rPr>
              <w:t>网络管理平台</w:t>
            </w:r>
          </w:p>
          <w:p>
            <w:pPr>
              <w:widowControl/>
              <w:tabs>
                <w:tab w:val="center" w:pos="4153"/>
                <w:tab w:val="right" w:pos="8306"/>
              </w:tabs>
              <w:spacing w:after="160" w:line="276" w:lineRule="auto"/>
              <w:ind w:left="105" w:leftChars="50" w:right="105" w:rightChars="50"/>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管理</w:t>
            </w:r>
            <w:r>
              <w:rPr>
                <w:rFonts w:cs="Times New Roman" w:asciiTheme="majorEastAsia" w:hAnsiTheme="majorEastAsia" w:eastAsiaTheme="majorEastAsia"/>
                <w:kern w:val="0"/>
                <w:szCs w:val="21"/>
              </w:rPr>
              <w:t>云服务</w:t>
            </w:r>
            <w:r>
              <w:rPr>
                <w:rFonts w:hint="eastAsia" w:cs="Times New Roman" w:asciiTheme="majorEastAsia" w:hAnsiTheme="majorEastAsia" w:eastAsiaTheme="majorEastAsia"/>
                <w:kern w:val="0"/>
                <w:szCs w:val="21"/>
              </w:rPr>
              <w:t>、维护</w:t>
            </w:r>
            <w:r>
              <w:rPr>
                <w:rFonts w:cs="Times New Roman" w:asciiTheme="majorEastAsia" w:hAnsiTheme="majorEastAsia" w:eastAsiaTheme="majorEastAsia"/>
                <w:kern w:val="0"/>
                <w:szCs w:val="21"/>
              </w:rPr>
              <w:t>云计算系统</w:t>
            </w:r>
          </w:p>
        </w:tc>
        <w:tc>
          <w:tcPr>
            <w:tcW w:w="851" w:type="dxa"/>
            <w:vAlign w:val="center"/>
          </w:tcPr>
          <w:p>
            <w:pPr>
              <w:widowControl/>
              <w:tabs>
                <w:tab w:val="center" w:pos="4153"/>
                <w:tab w:val="right" w:pos="8306"/>
              </w:tabs>
              <w:spacing w:after="160" w:line="276" w:lineRule="auto"/>
              <w:ind w:left="105" w:leftChars="50" w:right="105" w:rightChars="50"/>
              <w:jc w:val="center"/>
              <w:rPr>
                <w:rFonts w:cs="Times New Roman" w:asciiTheme="majorEastAsia" w:hAnsiTheme="majorEastAsia" w:eastAsiaTheme="majorEastAsia"/>
                <w:kern w:val="0"/>
                <w:szCs w:val="21"/>
              </w:rPr>
            </w:pPr>
            <w:r>
              <w:rPr>
                <w:rFonts w:hint="eastAsia" w:cs="Times New Roman" w:asciiTheme="majorEastAsia" w:hAnsiTheme="majorEastAsia" w:eastAsiaTheme="majorEastAsia"/>
                <w:kern w:val="0"/>
                <w:szCs w:val="21"/>
              </w:rPr>
              <w:t>48</w:t>
            </w:r>
          </w:p>
        </w:tc>
      </w:tr>
    </w:tbl>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24" w:name="_Toc402879276"/>
      <w:bookmarkStart w:id="25" w:name="_Toc404550150"/>
      <w:bookmarkStart w:id="26" w:name="_Toc403686992"/>
      <w:r>
        <w:rPr>
          <w:rFonts w:hint="eastAsia" w:cs="宋体" w:asciiTheme="majorEastAsia" w:hAnsiTheme="majorEastAsia" w:eastAsiaTheme="majorEastAsia"/>
          <w:spacing w:val="-10"/>
          <w:kern w:val="0"/>
          <w:szCs w:val="21"/>
          <w:lang w:val="zh-CN" w:bidi="zh-CN"/>
        </w:rPr>
        <w:t>（2）上海电子信息职业技术学院信息安全专业实训室</w:t>
      </w:r>
      <w:bookmarkEnd w:id="24"/>
      <w:bookmarkEnd w:id="25"/>
      <w:bookmarkEnd w:id="26"/>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信息安全技术应用专业目前建有，计算机网络管理实训室、计算机网络互联实训室（Cisco设备）、计算机网络互联实训室（H3C设备）、无线网络安全管理实训室、综合布线实训室、虚拟安全综合实训室、攻防沙场演练实训室等七个专业实训室，工位数280个，能够承担包括日常教学、认证培训和社会服务等多种任务。实训室主要功能见下表：</w:t>
      </w:r>
    </w:p>
    <w:p>
      <w:pPr>
        <w:snapToGrid w:val="0"/>
        <w:spacing w:before="156" w:beforeLines="50" w:after="156" w:afterLines="50" w:line="300" w:lineRule="auto"/>
        <w:ind w:firstLine="422"/>
        <w:jc w:val="center"/>
        <w:rPr>
          <w:rFonts w:cs="宋体" w:asciiTheme="majorEastAsia" w:hAnsiTheme="majorEastAsia" w:eastAsiaTheme="majorEastAsia"/>
          <w:b/>
          <w:kern w:val="0"/>
          <w:szCs w:val="21"/>
          <w:lang w:val="zh-CN" w:bidi="zh-CN"/>
        </w:rPr>
      </w:pPr>
      <w:r>
        <w:rPr>
          <w:rFonts w:hint="eastAsia" w:ascii="仿宋" w:hAnsi="仿宋" w:eastAsia="仿宋" w:cs="Times New Roman"/>
          <w:b/>
          <w:bCs/>
          <w:color w:val="000000"/>
          <w:szCs w:val="21"/>
        </w:rPr>
        <w:t>表6</w:t>
      </w:r>
      <w:r>
        <w:rPr>
          <w:rFonts w:ascii="仿宋" w:hAnsi="仿宋" w:eastAsia="仿宋" w:cs="Times New Roman"/>
          <w:b/>
          <w:bCs/>
          <w:color w:val="000000"/>
          <w:szCs w:val="21"/>
        </w:rPr>
        <w:t xml:space="preserve"> </w:t>
      </w:r>
      <w:r>
        <w:rPr>
          <w:rFonts w:hint="eastAsia" w:cs="宋体" w:asciiTheme="majorEastAsia" w:hAnsiTheme="majorEastAsia" w:eastAsiaTheme="majorEastAsia"/>
          <w:b/>
          <w:kern w:val="0"/>
          <w:szCs w:val="21"/>
          <w:lang w:val="zh-CN" w:bidi="zh-CN"/>
        </w:rPr>
        <w:t>校内实训室一览表</w:t>
      </w:r>
      <w:bookmarkStart w:id="27" w:name="_Toc41385237"/>
    </w:p>
    <w:tbl>
      <w:tblPr>
        <w:tblStyle w:val="36"/>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559"/>
        <w:gridCol w:w="552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b/>
                <w:kern w:val="0"/>
                <w:sz w:val="20"/>
                <w:szCs w:val="21"/>
                <w:lang w:val="zh-CN" w:bidi="zh-CN"/>
              </w:rPr>
              <w:t>序号</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b/>
                <w:kern w:val="0"/>
                <w:sz w:val="20"/>
                <w:szCs w:val="21"/>
                <w:lang w:val="zh-CN" w:bidi="zh-CN"/>
              </w:rPr>
              <w:t>实训室名称</w:t>
            </w:r>
          </w:p>
        </w:tc>
        <w:tc>
          <w:tcPr>
            <w:tcW w:w="5528"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b/>
                <w:kern w:val="0"/>
                <w:sz w:val="20"/>
                <w:szCs w:val="21"/>
                <w:lang w:val="zh-CN" w:bidi="zh-CN"/>
              </w:rPr>
              <w:t>实训内容</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b/>
                <w:kern w:val="0"/>
                <w:sz w:val="20"/>
                <w:szCs w:val="21"/>
                <w:lang w:val="zh-CN" w:bidi="zh-CN"/>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1</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计算机网络管理实训室</w:t>
            </w:r>
          </w:p>
        </w:tc>
        <w:tc>
          <w:tcPr>
            <w:tcW w:w="5528" w:type="dxa"/>
            <w:vAlign w:val="center"/>
          </w:tcPr>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网络系统的基础设置（域目录管理，WEB应用服务，DNS网络服务，DHCP网络服务）</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Linux系统配置（网络系统基础配置，web服务配置，DNS服务配置，DHCP服务系统配置）</w:t>
            </w:r>
          </w:p>
          <w:p>
            <w:pPr>
              <w:autoSpaceDE w:val="0"/>
              <w:autoSpaceDN w:val="0"/>
              <w:spacing w:after="160" w:line="360" w:lineRule="auto"/>
              <w:ind w:firstLine="400" w:firstLineChars="200"/>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网页设计与制作、数据库安全管理、WEB应用开发、网站系统配置与维护实训</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2</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计算机网络互联</w:t>
            </w:r>
            <w:r>
              <w:rPr>
                <w:rFonts w:cs="宋体" w:asciiTheme="majorEastAsia" w:hAnsiTheme="majorEastAsia" w:eastAsiaTheme="majorEastAsia"/>
                <w:kern w:val="0"/>
                <w:sz w:val="20"/>
                <w:szCs w:val="21"/>
                <w:lang w:val="zh-CN" w:bidi="zh-CN"/>
              </w:rPr>
              <w:t>实训室</w:t>
            </w:r>
            <w:r>
              <w:rPr>
                <w:rFonts w:hint="eastAsia" w:cs="宋体" w:asciiTheme="majorEastAsia" w:hAnsiTheme="majorEastAsia" w:eastAsiaTheme="majorEastAsia"/>
                <w:kern w:val="0"/>
                <w:sz w:val="20"/>
                <w:szCs w:val="21"/>
                <w:lang w:val="zh-CN" w:bidi="zh-CN"/>
              </w:rPr>
              <w:t>（Cisco设备）</w:t>
            </w:r>
          </w:p>
        </w:tc>
        <w:tc>
          <w:tcPr>
            <w:tcW w:w="5528" w:type="dxa"/>
            <w:vAlign w:val="center"/>
          </w:tcPr>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网络设备的安全接入配置（SSH、双因子认证，AAA本地和服务器认证）</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防火墙基本配置（接口、路由）、模块化的策略架构配置、透明模式配置、A/S配置、Failover配置、防火墙的SSL VPN配置</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在ISR产品上配置site-to-site VPN、MPLS VPN、GRE over IPSEC和DMVPN 等多种类型VPN功能</w:t>
            </w:r>
          </w:p>
          <w:p>
            <w:pPr>
              <w:autoSpaceDE w:val="0"/>
              <w:autoSpaceDN w:val="0"/>
              <w:spacing w:after="160" w:line="360" w:lineRule="auto"/>
              <w:ind w:firstLine="400" w:firstLineChars="200"/>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在交换机设备上配置接口安全配置、实施802.1X协议配置</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3</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计算机网络互联</w:t>
            </w:r>
            <w:r>
              <w:rPr>
                <w:rFonts w:cs="宋体" w:asciiTheme="majorEastAsia" w:hAnsiTheme="majorEastAsia" w:eastAsiaTheme="majorEastAsia"/>
                <w:kern w:val="0"/>
                <w:sz w:val="20"/>
                <w:szCs w:val="21"/>
                <w:lang w:val="zh-CN" w:bidi="zh-CN"/>
              </w:rPr>
              <w:t>实训室</w:t>
            </w:r>
            <w:r>
              <w:rPr>
                <w:rFonts w:hint="eastAsia" w:cs="宋体" w:asciiTheme="majorEastAsia" w:hAnsiTheme="majorEastAsia" w:eastAsiaTheme="majorEastAsia"/>
                <w:kern w:val="0"/>
                <w:sz w:val="20"/>
                <w:szCs w:val="21"/>
                <w:lang w:val="zh-CN" w:bidi="zh-CN"/>
              </w:rPr>
              <w:t>（H3C设备）</w:t>
            </w:r>
          </w:p>
        </w:tc>
        <w:tc>
          <w:tcPr>
            <w:tcW w:w="5528" w:type="dxa"/>
            <w:vAlign w:val="center"/>
          </w:tcPr>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网络设备的基础配置（接口，地址，网关，设备名称，设备基本信息）</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基础路由协议的配置（静态路由、RIP路由协议，ospf路由协议）</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配置交换机VLAN,生成树配置</w:t>
            </w:r>
          </w:p>
          <w:p>
            <w:pPr>
              <w:autoSpaceDE w:val="0"/>
              <w:autoSpaceDN w:val="0"/>
              <w:spacing w:after="160" w:line="360" w:lineRule="auto"/>
              <w:ind w:firstLine="400" w:firstLineChars="200"/>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接口安全配置，802.1X协议配置</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无线网络安全管理实训室</w:t>
            </w:r>
          </w:p>
        </w:tc>
        <w:tc>
          <w:tcPr>
            <w:tcW w:w="5528" w:type="dxa"/>
            <w:vAlign w:val="center"/>
          </w:tcPr>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无线控制器配置（瘦AP、胖AP、无线加密协议分析与配置）</w:t>
            </w:r>
          </w:p>
          <w:p>
            <w:pPr>
              <w:autoSpaceDE w:val="0"/>
              <w:autoSpaceDN w:val="0"/>
              <w:spacing w:after="160" w:line="360" w:lineRule="auto"/>
              <w:ind w:firstLine="400" w:firstLineChars="200"/>
              <w:rPr>
                <w:rFonts w:cs="宋体" w:asciiTheme="majorEastAsia" w:hAnsiTheme="majorEastAsia" w:eastAsiaTheme="majorEastAsia"/>
                <w:spacing w:val="-10"/>
                <w:kern w:val="0"/>
                <w:sz w:val="20"/>
                <w:szCs w:val="21"/>
                <w:lang w:val="zh-CN" w:bidi="zh-CN"/>
              </w:rPr>
            </w:pPr>
            <w:r>
              <w:rPr>
                <w:rFonts w:cs="宋体" w:asciiTheme="majorEastAsia" w:hAnsiTheme="majorEastAsia" w:eastAsiaTheme="majorEastAsia"/>
                <w:kern w:val="0"/>
                <w:sz w:val="20"/>
                <w:szCs w:val="21"/>
                <w:lang w:val="zh-CN" w:bidi="zh-CN"/>
              </w:rPr>
              <w:t>W</w:t>
            </w:r>
            <w:r>
              <w:rPr>
                <w:rFonts w:hint="eastAsia" w:cs="宋体" w:asciiTheme="majorEastAsia" w:hAnsiTheme="majorEastAsia" w:eastAsiaTheme="majorEastAsia"/>
                <w:kern w:val="0"/>
                <w:sz w:val="20"/>
                <w:szCs w:val="21"/>
                <w:lang w:val="zh-CN" w:bidi="zh-CN"/>
              </w:rPr>
              <w:t>indows与linux系统渗透、Windows与linux系统加固、网络系统检测、加密算法、内容隐藏、暴力（字典）破解、PKI体系、证书服务器的搭建</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5</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综合布线实训室</w:t>
            </w:r>
          </w:p>
        </w:tc>
        <w:tc>
          <w:tcPr>
            <w:tcW w:w="5528" w:type="dxa"/>
            <w:vAlign w:val="center"/>
          </w:tcPr>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cs="宋体" w:asciiTheme="majorEastAsia" w:hAnsiTheme="majorEastAsia" w:eastAsiaTheme="majorEastAsia"/>
                <w:kern w:val="0"/>
                <w:sz w:val="20"/>
                <w:szCs w:val="21"/>
                <w:lang w:val="zh-CN" w:bidi="zh-CN"/>
              </w:rPr>
              <w:t>各种电缆、光纤测试分析，对新安装的布线系统和网络系统进行验收认证测试</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cs="宋体" w:asciiTheme="majorEastAsia" w:hAnsiTheme="majorEastAsia" w:eastAsiaTheme="majorEastAsia"/>
                <w:kern w:val="0"/>
                <w:sz w:val="20"/>
                <w:szCs w:val="21"/>
                <w:lang w:val="zh-CN" w:bidi="zh-CN"/>
              </w:rPr>
              <w:t>光纤、光缆尾纤连接方法训练</w:t>
            </w:r>
          </w:p>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各种管线的安装、布线训练</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6</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软</w:t>
            </w:r>
            <w:r>
              <w:rPr>
                <w:rFonts w:cs="宋体" w:asciiTheme="majorEastAsia" w:hAnsiTheme="majorEastAsia" w:eastAsiaTheme="majorEastAsia"/>
                <w:kern w:val="0"/>
                <w:sz w:val="20"/>
                <w:szCs w:val="21"/>
                <w:lang w:val="zh-CN" w:bidi="zh-CN"/>
              </w:rPr>
              <w:t>件</w:t>
            </w:r>
            <w:r>
              <w:rPr>
                <w:rFonts w:hint="eastAsia" w:cs="宋体" w:asciiTheme="majorEastAsia" w:hAnsiTheme="majorEastAsia" w:eastAsiaTheme="majorEastAsia"/>
                <w:kern w:val="0"/>
                <w:sz w:val="20"/>
                <w:szCs w:val="21"/>
                <w:lang w:val="zh-CN" w:bidi="zh-CN"/>
              </w:rPr>
              <w:t>安全实训室</w:t>
            </w:r>
          </w:p>
        </w:tc>
        <w:tc>
          <w:tcPr>
            <w:tcW w:w="5528" w:type="dxa"/>
            <w:vAlign w:val="center"/>
          </w:tcPr>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WEB服务安全：WEB常见安全漏洞检测，漏洞利用方法，漏洞防御措施，代码安全审计</w:t>
            </w:r>
          </w:p>
          <w:p>
            <w:pPr>
              <w:autoSpaceDE w:val="0"/>
              <w:autoSpaceDN w:val="0"/>
              <w:spacing w:before="62" w:beforeLines="20" w:after="62" w:afterLines="20" w:line="360" w:lineRule="auto"/>
              <w:ind w:left="105" w:leftChars="50" w:right="105" w:rightChars="50" w:firstLine="36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移动安全：漏洞成因分析（权限控制不当、组件保护不当、数据在传输和存储过程中泄漏、WebView组件安全、源代码保护等），安卓组件安全，敏感数据存储与传输安全，APP源代码混淆与加固</w:t>
            </w:r>
          </w:p>
          <w:p>
            <w:pPr>
              <w:autoSpaceDE w:val="0"/>
              <w:autoSpaceDN w:val="0"/>
              <w:spacing w:after="160" w:line="360" w:lineRule="auto"/>
              <w:ind w:firstLine="400" w:firstLineChars="200"/>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渗透测试：信息收集、存活主机扫描、端口扫描、服务识别、目标主机操作系统平台识别、漏洞利用工具使用、漏洞攻击、维护访问控制</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7</w:t>
            </w:r>
          </w:p>
        </w:tc>
        <w:tc>
          <w:tcPr>
            <w:tcW w:w="155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攻防实训室</w:t>
            </w:r>
          </w:p>
        </w:tc>
        <w:tc>
          <w:tcPr>
            <w:tcW w:w="5528" w:type="dxa"/>
            <w:vAlign w:val="center"/>
          </w:tcPr>
          <w:p>
            <w:pPr>
              <w:autoSpaceDE w:val="0"/>
              <w:autoSpaceDN w:val="0"/>
              <w:spacing w:before="62" w:beforeLines="20" w:after="62" w:afterLines="20" w:line="360" w:lineRule="auto"/>
              <w:ind w:right="105" w:rightChars="50" w:firstLine="400" w:firstLineChars="20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信息安全竞赛系统</w:t>
            </w:r>
          </w:p>
          <w:p>
            <w:pPr>
              <w:autoSpaceDE w:val="0"/>
              <w:autoSpaceDN w:val="0"/>
              <w:spacing w:before="62" w:beforeLines="20" w:after="62" w:afterLines="20" w:line="360" w:lineRule="auto"/>
              <w:ind w:right="105" w:rightChars="50" w:firstLine="400" w:firstLineChars="200"/>
              <w:rPr>
                <w:rFonts w:cs="宋体" w:asciiTheme="majorEastAsia" w:hAnsiTheme="majorEastAsia" w:eastAsiaTheme="majorEastAsia"/>
                <w:kern w:val="0"/>
                <w:sz w:val="20"/>
                <w:szCs w:val="21"/>
                <w:lang w:val="zh-CN" w:bidi="zh-CN"/>
              </w:rPr>
            </w:pPr>
            <w:r>
              <w:rPr>
                <w:rFonts w:hint="eastAsia" w:cs="宋体" w:asciiTheme="majorEastAsia" w:hAnsiTheme="majorEastAsia" w:eastAsiaTheme="majorEastAsia"/>
                <w:kern w:val="0"/>
                <w:sz w:val="20"/>
                <w:szCs w:val="21"/>
                <w:lang w:val="zh-CN" w:bidi="zh-CN"/>
              </w:rPr>
              <w:t>信息安全攻防演练系统</w:t>
            </w:r>
          </w:p>
          <w:p>
            <w:pPr>
              <w:autoSpaceDE w:val="0"/>
              <w:autoSpaceDN w:val="0"/>
              <w:spacing w:after="160" w:line="360" w:lineRule="auto"/>
              <w:ind w:firstLine="400" w:firstLineChars="200"/>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信息安全展示系统</w:t>
            </w:r>
          </w:p>
        </w:tc>
        <w:tc>
          <w:tcPr>
            <w:tcW w:w="709" w:type="dxa"/>
            <w:vAlign w:val="center"/>
          </w:tcPr>
          <w:p>
            <w:pPr>
              <w:autoSpaceDE w:val="0"/>
              <w:autoSpaceDN w:val="0"/>
              <w:spacing w:after="160" w:line="360" w:lineRule="auto"/>
              <w:rPr>
                <w:rFonts w:cs="宋体" w:asciiTheme="majorEastAsia" w:hAnsiTheme="majorEastAsia" w:eastAsiaTheme="majorEastAsia"/>
                <w:spacing w:val="-10"/>
                <w:kern w:val="0"/>
                <w:sz w:val="20"/>
                <w:szCs w:val="21"/>
                <w:lang w:val="zh-CN" w:bidi="zh-CN"/>
              </w:rPr>
            </w:pPr>
            <w:r>
              <w:rPr>
                <w:rFonts w:hint="eastAsia" w:cs="宋体" w:asciiTheme="majorEastAsia" w:hAnsiTheme="majorEastAsia" w:eastAsiaTheme="majorEastAsia"/>
                <w:kern w:val="0"/>
                <w:sz w:val="20"/>
                <w:szCs w:val="21"/>
                <w:lang w:val="zh-CN" w:bidi="zh-CN"/>
              </w:rPr>
              <w:t>40</w:t>
            </w:r>
          </w:p>
        </w:tc>
      </w:tr>
    </w:tbl>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3.校外实训基地基本要求</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校外实训基地基本要求为：具有稳定的校外实训基地；实训设施齐备，实训岗位、实训 指导教师确定，实训管理及实施规章制度齐全；能够接纳一定规模的学生开展网络安全应急响应等有关实训。</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28" w:name="bookmark86"/>
      <w:bookmarkEnd w:id="28"/>
      <w:r>
        <w:rPr>
          <w:rFonts w:hint="eastAsia" w:cs="宋体" w:asciiTheme="majorEastAsia" w:hAnsiTheme="majorEastAsia" w:eastAsiaTheme="majorEastAsia"/>
          <w:spacing w:val="-10"/>
          <w:kern w:val="0"/>
          <w:szCs w:val="21"/>
          <w:lang w:val="zh-CN" w:bidi="zh-CN"/>
        </w:rPr>
        <w:t>4．学生实习基地基本要求</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学生实习基地基本要求为：具有稳定的校外实习基地；能提供日常网络安全检测、渗透测试和安全运维、信息系统安全测评、信息系统安全规划实施、信息系统安全运维管理等工作，能涵盖当前相关产业发展的主流技术，可接纳一定规模的学生实习；能够配备相应数量的指导教师对学生实习进行指导和管理；有保证实习生日常工作、学习、生活的规章制度，有安全、保险保障。</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（三）教学资源</w:t>
      </w:r>
      <w:bookmarkEnd w:id="27"/>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29" w:name="_Toc377475449"/>
      <w:bookmarkStart w:id="30" w:name="_Toc378165574"/>
      <w:bookmarkStart w:id="31" w:name="_Toc40602064"/>
      <w:bookmarkStart w:id="32" w:name="_Toc41385238"/>
      <w:bookmarkStart w:id="33" w:name="_Toc40604397"/>
      <w:r>
        <w:rPr>
          <w:rFonts w:hint="eastAsia" w:cs="宋体" w:asciiTheme="majorEastAsia" w:hAnsiTheme="majorEastAsia" w:eastAsiaTheme="majorEastAsia"/>
          <w:spacing w:val="-10"/>
          <w:kern w:val="0"/>
          <w:szCs w:val="21"/>
          <w:lang w:val="zh-CN" w:bidi="zh-CN"/>
        </w:rPr>
        <w:t>1.教材和讲义选用</w:t>
      </w:r>
      <w:bookmarkEnd w:id="29"/>
      <w:bookmarkEnd w:id="30"/>
      <w:bookmarkEnd w:id="31"/>
      <w:bookmarkEnd w:id="32"/>
      <w:bookmarkEnd w:id="33"/>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(1)教材和讲义优先选用自编校本教材。自编校本教材不仅是高职院校教材的补充，还是高职院校自身教学特色的一种体现，本专业已拥有Linux服务与安全管理、</w:t>
      </w:r>
      <w:r>
        <w:rPr>
          <w:rFonts w:cs="宋体" w:asciiTheme="majorEastAsia" w:hAnsiTheme="majorEastAsia" w:eastAsiaTheme="majorEastAsia"/>
          <w:spacing w:val="-10"/>
          <w:kern w:val="0"/>
          <w:szCs w:val="21"/>
          <w:lang w:val="zh-CN" w:bidi="zh-CN"/>
        </w:rPr>
        <w:t>WEB服务安全</w:t>
      </w:r>
      <w:r>
        <w:rPr>
          <w:rFonts w:hint="eastAsia" w:cs="宋体" w:asciiTheme="majorEastAsia" w:hAnsiTheme="majorEastAsia" w:eastAsiaTheme="majorEastAsia"/>
          <w:spacing w:val="-10"/>
          <w:kern w:val="0"/>
          <w:szCs w:val="21"/>
          <w:lang w:val="zh-CN" w:bidi="zh-CN"/>
        </w:rPr>
        <w:t>、渗透测试、</w:t>
      </w:r>
      <w:r>
        <w:rPr>
          <w:rFonts w:cs="宋体" w:asciiTheme="majorEastAsia" w:hAnsiTheme="majorEastAsia" w:eastAsiaTheme="majorEastAsia"/>
          <w:spacing w:val="-10"/>
          <w:kern w:val="0"/>
          <w:szCs w:val="21"/>
          <w:lang w:val="zh-CN" w:bidi="zh-CN"/>
        </w:rPr>
        <w:t>防火墙与VPN技术</w:t>
      </w: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网络设备安全配置</w:t>
      </w:r>
      <w:r>
        <w:rPr>
          <w:rFonts w:hint="eastAsia" w:cs="宋体" w:asciiTheme="majorEastAsia" w:hAnsiTheme="majorEastAsia" w:eastAsiaTheme="majorEastAsia"/>
          <w:spacing w:val="-10"/>
          <w:kern w:val="0"/>
          <w:szCs w:val="21"/>
          <w:lang w:val="zh-CN" w:bidi="zh-CN"/>
        </w:rPr>
        <w:t>、网络攻防技术等特色鲜明、有较高水平的自编校本教材及讲义。</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(2)除自编校本教材外，还可选用反映计算机网络技术最新发展水平、特色鲜明，并能够满足高等职业教育培养目标要求的规划教材，尽量选用近三年出版的高职高专教材。</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34" w:name="_Toc40604398"/>
      <w:bookmarkStart w:id="35" w:name="_Toc377475450"/>
      <w:bookmarkStart w:id="36" w:name="_Toc40602065"/>
      <w:bookmarkStart w:id="37" w:name="_Toc41385239"/>
      <w:bookmarkStart w:id="38" w:name="_Toc378165575"/>
      <w:r>
        <w:rPr>
          <w:rFonts w:hint="eastAsia" w:cs="宋体" w:asciiTheme="majorEastAsia" w:hAnsiTheme="majorEastAsia" w:eastAsiaTheme="majorEastAsia"/>
          <w:spacing w:val="-10"/>
          <w:kern w:val="0"/>
          <w:szCs w:val="21"/>
          <w:lang w:val="zh-CN" w:bidi="zh-CN"/>
        </w:rPr>
        <w:t>2.数字化（网络）教学资源</w:t>
      </w:r>
      <w:bookmarkEnd w:id="34"/>
      <w:bookmarkEnd w:id="35"/>
      <w:bookmarkEnd w:id="36"/>
      <w:bookmarkEnd w:id="37"/>
      <w:bookmarkEnd w:id="38"/>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39" w:name="_Toc41385240"/>
      <w:r>
        <w:rPr>
          <w:rFonts w:hint="eastAsia" w:cs="宋体" w:asciiTheme="majorEastAsia" w:hAnsiTheme="majorEastAsia" w:eastAsiaTheme="majorEastAsia"/>
          <w:spacing w:val="-10"/>
          <w:kern w:val="0"/>
          <w:szCs w:val="21"/>
          <w:lang w:val="zh-CN" w:bidi="zh-CN"/>
        </w:rPr>
        <w:t>(1)专业信息库</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专业信息库包括专业概况、对接的产业概况、专业建设、人才培养、质量评估、建设成果。</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(2)课程资源</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课程资源包括课程简介、课程标准、教学设计（整体设计、单元设计、项目设计）、说课录像、授课录像、素材资源（电子教材、电子课件、参考资料、习题试题库、任务单、项目指导书、学生作品等）。</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(3)教学案例库</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包括：课程案例、项目案例、学生作品。</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(4)专业工具库</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专业工具库包括专业知识动画资源库、专业设备组件库、专业图片库、工具使用手册库、项目工程视频库、音频库。</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(5)培训资源库</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培训资源库包括行业企业证书和培训、师资培训、职业资格培训、学生竞赛培训、社会服务与对外交流。</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 xml:space="preserve"> </w:t>
      </w:r>
      <w:r>
        <w:rPr>
          <w:rFonts w:hint="eastAsia" w:cs="宋体" w:asciiTheme="majorEastAsia" w:hAnsiTheme="majorEastAsia" w:eastAsiaTheme="majorEastAsia"/>
          <w:spacing w:val="-10"/>
          <w:kern w:val="0"/>
          <w:szCs w:val="21"/>
          <w:lang w:val="zh-CN" w:bidi="zh-CN"/>
        </w:rPr>
        <w:t>(6)行企资源库</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行企资源库包括行业概况、技术前沿、行业相关岗位描述、合作企业信息及企业真实案例、政策法规、标准规范。</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（四）教学方法</w:t>
      </w:r>
      <w:bookmarkEnd w:id="39"/>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教师采用“任务驱动”教学方法，进行“任务引领式”教学，让学生通过执行完整的任务来锻炼综合职业能力，改变教师本位观念，让学生充分发挥主观能动性。各任务的完成通过“案例展示、任务分析、知识讲解、操作示范、课堂模仿、课后实践、问题解析、归纳总结”等步骤进行。</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bookmarkStart w:id="40" w:name="_Toc41385241"/>
      <w:r>
        <w:rPr>
          <w:rFonts w:hint="eastAsia" w:cs="宋体" w:asciiTheme="majorEastAsia" w:hAnsiTheme="majorEastAsia" w:eastAsiaTheme="majorEastAsia"/>
          <w:b/>
          <w:bCs/>
          <w:spacing w:val="-10"/>
          <w:kern w:val="0"/>
          <w:szCs w:val="21"/>
          <w:lang w:val="zh-CN" w:bidi="zh-CN"/>
        </w:rPr>
        <w:t>（五）学习评价</w:t>
      </w:r>
      <w:bookmarkEnd w:id="40"/>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bookmarkStart w:id="41" w:name="_Toc378165387"/>
      <w:r>
        <w:rPr>
          <w:rFonts w:hint="eastAsia" w:cs="宋体" w:asciiTheme="majorEastAsia" w:hAnsiTheme="majorEastAsia" w:eastAsiaTheme="majorEastAsia"/>
          <w:spacing w:val="-10"/>
          <w:kern w:val="0"/>
          <w:szCs w:val="21"/>
          <w:lang w:val="zh-CN" w:bidi="zh-CN"/>
        </w:rPr>
        <w:t>通过对课程教学评价体系改革，突出能力考核，引入企业参与学生考核评价，建立多元化的课程考核评价体系，实现专业技能和岗位技能的综合素质评价。</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建立“知识</w:t>
      </w:r>
      <w:r>
        <w:rPr>
          <w:rFonts w:cs="宋体" w:asciiTheme="majorEastAsia" w:hAnsiTheme="majorEastAsia" w:eastAsiaTheme="majorEastAsia"/>
          <w:spacing w:val="-10"/>
          <w:kern w:val="0"/>
          <w:szCs w:val="21"/>
          <w:lang w:val="zh-CN" w:bidi="zh-CN"/>
        </w:rPr>
        <w:t>+</w:t>
      </w:r>
      <w:r>
        <w:rPr>
          <w:rFonts w:hint="eastAsia" w:cs="宋体" w:asciiTheme="majorEastAsia" w:hAnsiTheme="majorEastAsia" w:eastAsiaTheme="majorEastAsia"/>
          <w:spacing w:val="-10"/>
          <w:kern w:val="0"/>
          <w:szCs w:val="21"/>
          <w:lang w:val="zh-CN" w:bidi="zh-CN"/>
        </w:rPr>
        <w:t>技能</w:t>
      </w:r>
      <w:r>
        <w:rPr>
          <w:rFonts w:cs="宋体" w:asciiTheme="majorEastAsia" w:hAnsiTheme="majorEastAsia" w:eastAsiaTheme="majorEastAsia"/>
          <w:spacing w:val="-10"/>
          <w:kern w:val="0"/>
          <w:szCs w:val="21"/>
          <w:lang w:val="zh-CN" w:bidi="zh-CN"/>
        </w:rPr>
        <w:t>+</w:t>
      </w:r>
      <w:r>
        <w:rPr>
          <w:rFonts w:hint="eastAsia" w:cs="宋体" w:asciiTheme="majorEastAsia" w:hAnsiTheme="majorEastAsia" w:eastAsiaTheme="majorEastAsia"/>
          <w:spacing w:val="-10"/>
          <w:kern w:val="0"/>
          <w:szCs w:val="21"/>
          <w:lang w:val="zh-CN" w:bidi="zh-CN"/>
        </w:rPr>
        <w:t>实践”的教学评价体系；以过程考核为主体，突出专业核心能力和学生综合素质的考核评价；注重课程评价与职业资格鉴定的衔接；建立多元评价机制，加强行业、企业和社会评价。</w:t>
      </w:r>
      <w:bookmarkEnd w:id="41"/>
      <w:r>
        <w:rPr>
          <w:rFonts w:hint="eastAsia" w:cs="宋体" w:asciiTheme="majorEastAsia" w:hAnsiTheme="majorEastAsia" w:eastAsiaTheme="majorEastAsia"/>
          <w:spacing w:val="-10"/>
          <w:kern w:val="0"/>
          <w:szCs w:val="21"/>
          <w:lang w:val="zh-CN" w:bidi="zh-CN"/>
        </w:rPr>
        <w:t>评价体系包括理论考核、项目过程考核、职业资格认证、行业认证、技能竞赛等多种考核方式。课程考核可以选用以下一种或多种方式：</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1</w:t>
      </w:r>
      <w:r>
        <w:rPr>
          <w:rFonts w:hint="eastAsia" w:cs="宋体" w:asciiTheme="majorEastAsia" w:hAnsiTheme="majorEastAsia" w:eastAsiaTheme="majorEastAsia"/>
          <w:spacing w:val="-10"/>
          <w:kern w:val="0"/>
          <w:szCs w:val="21"/>
          <w:lang w:val="zh-CN" w:bidi="zh-CN"/>
        </w:rPr>
        <w:t>．建立“知识</w:t>
      </w:r>
      <w:r>
        <w:rPr>
          <w:rFonts w:cs="宋体" w:asciiTheme="majorEastAsia" w:hAnsiTheme="majorEastAsia" w:eastAsiaTheme="majorEastAsia"/>
          <w:spacing w:val="-10"/>
          <w:kern w:val="0"/>
          <w:szCs w:val="21"/>
          <w:lang w:val="zh-CN" w:bidi="zh-CN"/>
        </w:rPr>
        <w:t>+</w:t>
      </w:r>
      <w:r>
        <w:rPr>
          <w:rFonts w:hint="eastAsia" w:cs="宋体" w:asciiTheme="majorEastAsia" w:hAnsiTheme="majorEastAsia" w:eastAsiaTheme="majorEastAsia"/>
          <w:spacing w:val="-10"/>
          <w:kern w:val="0"/>
          <w:szCs w:val="21"/>
          <w:lang w:val="zh-CN" w:bidi="zh-CN"/>
        </w:rPr>
        <w:t>技能</w:t>
      </w:r>
      <w:r>
        <w:rPr>
          <w:rFonts w:cs="宋体" w:asciiTheme="majorEastAsia" w:hAnsiTheme="majorEastAsia" w:eastAsiaTheme="majorEastAsia"/>
          <w:spacing w:val="-10"/>
          <w:kern w:val="0"/>
          <w:szCs w:val="21"/>
          <w:lang w:val="zh-CN" w:bidi="zh-CN"/>
        </w:rPr>
        <w:t>+</w:t>
      </w:r>
      <w:r>
        <w:rPr>
          <w:rFonts w:hint="eastAsia" w:cs="宋体" w:asciiTheme="majorEastAsia" w:hAnsiTheme="majorEastAsia" w:eastAsiaTheme="majorEastAsia"/>
          <w:spacing w:val="-10"/>
          <w:kern w:val="0"/>
          <w:szCs w:val="21"/>
          <w:lang w:val="zh-CN" w:bidi="zh-CN"/>
        </w:rPr>
        <w:t>实践”的教学评价内容体系，突出项目成果评价。</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2</w:t>
      </w:r>
      <w:r>
        <w:rPr>
          <w:rFonts w:hint="eastAsia" w:cs="宋体" w:asciiTheme="majorEastAsia" w:hAnsiTheme="majorEastAsia" w:eastAsiaTheme="majorEastAsia"/>
          <w:spacing w:val="-10"/>
          <w:kern w:val="0"/>
          <w:szCs w:val="21"/>
          <w:lang w:val="zh-CN" w:bidi="zh-CN"/>
        </w:rPr>
        <w:t>．以过程考核为主体，突出专业核心能力和学生综合素质的考核评价。</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3</w:t>
      </w:r>
      <w:r>
        <w:rPr>
          <w:rFonts w:hint="eastAsia" w:cs="宋体" w:asciiTheme="majorEastAsia" w:hAnsiTheme="majorEastAsia" w:eastAsiaTheme="majorEastAsia"/>
          <w:spacing w:val="-10"/>
          <w:kern w:val="0"/>
          <w:szCs w:val="21"/>
          <w:lang w:val="zh-CN" w:bidi="zh-CN"/>
        </w:rPr>
        <w:t>．注重课程评价与职业资格鉴定的衔接。</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4</w:t>
      </w:r>
      <w:r>
        <w:rPr>
          <w:rFonts w:hint="eastAsia" w:cs="宋体" w:asciiTheme="majorEastAsia" w:hAnsiTheme="majorEastAsia" w:eastAsiaTheme="majorEastAsia"/>
          <w:spacing w:val="-10"/>
          <w:kern w:val="0"/>
          <w:szCs w:val="21"/>
          <w:lang w:val="zh-CN" w:bidi="zh-CN"/>
        </w:rPr>
        <w:t>．建立多元评价机制，加强行业、企业和社会评价。</w:t>
      </w:r>
    </w:p>
    <w:p>
      <w:pPr>
        <w:autoSpaceDE w:val="0"/>
        <w:autoSpaceDN w:val="0"/>
        <w:spacing w:line="360" w:lineRule="auto"/>
        <w:ind w:firstLine="420"/>
        <w:jc w:val="left"/>
        <w:rPr>
          <w:rFonts w:cs="宋体" w:asciiTheme="majorEastAsia" w:hAnsiTheme="majorEastAsia" w:eastAsiaTheme="majorEastAsia"/>
          <w:b/>
          <w:bCs/>
          <w:spacing w:val="-10"/>
          <w:kern w:val="0"/>
          <w:szCs w:val="21"/>
          <w:lang w:val="zh-CN" w:bidi="zh-CN"/>
        </w:rPr>
      </w:pPr>
      <w:bookmarkStart w:id="42" w:name="_Toc41385242"/>
      <w:r>
        <w:rPr>
          <w:rFonts w:hint="eastAsia" w:cs="宋体" w:asciiTheme="majorEastAsia" w:hAnsiTheme="majorEastAsia" w:eastAsiaTheme="majorEastAsia"/>
          <w:b/>
          <w:bCs/>
          <w:spacing w:val="-10"/>
          <w:kern w:val="0"/>
          <w:szCs w:val="21"/>
          <w:lang w:val="zh-CN" w:bidi="zh-CN"/>
        </w:rPr>
        <w:t>（六）质量管理</w:t>
      </w:r>
      <w:bookmarkEnd w:id="42"/>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1.制度保障</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在“信息安全技术应用专业建设指导委员会”指导下，成立“教学质量监控工作小组”和教学督导组，构建人才培养质量监控与保障体系。</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制定《教师工作室管理办法》、《兼职教师对接工作要求（暂行）》、《教学检查制度》、《教师听课制度》、《教学质量信息反馈制度》、《毕业生跟踪调查制度》等。</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2.质量监控</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为确保人才培养质量，建立质量监控体系。质量监控包括人才培养目标监控、人才培养方案和教学大纲监控、教学过程监控、学生信息反馈、教材质量监控。</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（1）人才培养目标监控。通过行业、企业调研和评估，及时跟踪人才培养效果，不断完善人才培养模式，确保专业人才培养目标适应社会发展需要。</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（2）人才培养方案和教学大纲制订与执行监控。人才培养方案和教学大纲是组织和实施人才培养工作的核心教学文件，也是开展教学工作和对教学工作监控与评估的主要依据。</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（3）教学过程监控。主要通过听课、教学检查、教学督导、学生评教、教师评学、考试等实现监控目的。</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（4）学生信息反馈。建立学生教学信息员制度，定期召开院系两级学生座谈会。</w:t>
      </w:r>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5</w:t>
      </w:r>
      <w:r>
        <w:rPr>
          <w:rFonts w:hint="eastAsia" w:cs="宋体" w:asciiTheme="majorEastAsia" w:hAnsiTheme="majorEastAsia" w:eastAsiaTheme="majorEastAsia"/>
          <w:spacing w:val="-10"/>
          <w:kern w:val="0"/>
          <w:szCs w:val="21"/>
          <w:lang w:val="zh-CN" w:bidi="zh-CN"/>
        </w:rPr>
        <w:t>）教材质量监控。建立教材招标工作组，采用教材三级审核制。</w:t>
      </w:r>
    </w:p>
    <w:p>
      <w:pPr>
        <w:autoSpaceDE w:val="0"/>
        <w:autoSpaceDN w:val="0"/>
        <w:spacing w:after="160" w:line="360" w:lineRule="auto"/>
        <w:ind w:left="17"/>
        <w:jc w:val="left"/>
        <w:outlineLvl w:val="2"/>
        <w:rPr>
          <w:rFonts w:ascii="黑体" w:hAnsi="黑体" w:eastAsia="黑体" w:cs="等线"/>
          <w:b/>
          <w:bCs/>
          <w:kern w:val="0"/>
          <w:sz w:val="24"/>
          <w:szCs w:val="24"/>
          <w:lang w:val="zh-CN" w:bidi="zh-CN"/>
        </w:rPr>
      </w:pPr>
      <w:bookmarkStart w:id="43" w:name="_Toc40604402"/>
      <w:r>
        <w:rPr>
          <w:rFonts w:hint="eastAsia" w:ascii="黑体" w:hAnsi="黑体" w:eastAsia="黑体" w:cs="等线"/>
          <w:b/>
          <w:bCs/>
          <w:kern w:val="0"/>
          <w:sz w:val="24"/>
          <w:szCs w:val="24"/>
          <w:lang w:val="zh-CN" w:bidi="zh-CN"/>
        </w:rPr>
        <w:t>九、毕业要求</w:t>
      </w:r>
      <w:bookmarkEnd w:id="43"/>
    </w:p>
    <w:p>
      <w:pPr>
        <w:autoSpaceDE w:val="0"/>
        <w:autoSpaceDN w:val="0"/>
        <w:spacing w:after="160"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学生通过规定年限的学习，修满人才培养方案规定的全部学分，完成规定的教学活动，德育合格，体育达标，所有课程全部考核合格，完成一年的跟岗实习和顶岗实习，实习成绩考核合格，方可准许毕业。鼓励学生毕业前考取一张或多张与专业相关的职业技能等级证书，尤其是与专业相关的1+X证书。与本专业对接的可供选择的职业技能等级证书见下表。</w:t>
      </w:r>
    </w:p>
    <w:p>
      <w:pPr>
        <w:autoSpaceDE w:val="0"/>
        <w:autoSpaceDN w:val="0"/>
        <w:spacing w:after="160" w:line="360" w:lineRule="auto"/>
        <w:ind w:left="1219" w:firstLine="1687" w:firstLineChars="800"/>
        <w:jc w:val="left"/>
        <w:rPr>
          <w:rFonts w:cs="仿宋" w:asciiTheme="majorEastAsia" w:hAnsiTheme="majorEastAsia" w:eastAsiaTheme="majorEastAsia"/>
          <w:b/>
          <w:kern w:val="0"/>
          <w:szCs w:val="21"/>
          <w:lang w:val="zh-CN" w:bidi="zh-CN"/>
        </w:rPr>
      </w:pPr>
      <w:r>
        <w:rPr>
          <w:rFonts w:hint="eastAsia" w:cs="仿宋" w:asciiTheme="majorEastAsia" w:hAnsiTheme="majorEastAsia" w:eastAsiaTheme="majorEastAsia"/>
          <w:b/>
          <w:kern w:val="0"/>
          <w:szCs w:val="21"/>
          <w:lang w:val="zh-CN" w:bidi="zh-CN"/>
        </w:rPr>
        <w:t>表7</w:t>
      </w:r>
      <w:r>
        <w:rPr>
          <w:rFonts w:cs="仿宋" w:asciiTheme="majorEastAsia" w:hAnsiTheme="majorEastAsia" w:eastAsiaTheme="majorEastAsia"/>
          <w:b/>
          <w:kern w:val="0"/>
          <w:szCs w:val="21"/>
          <w:lang w:val="zh-CN" w:bidi="zh-CN"/>
        </w:rPr>
        <w:t xml:space="preserve"> </w:t>
      </w:r>
      <w:r>
        <w:rPr>
          <w:rFonts w:hint="eastAsia" w:cs="仿宋" w:asciiTheme="majorEastAsia" w:hAnsiTheme="majorEastAsia" w:eastAsiaTheme="majorEastAsia"/>
          <w:b/>
          <w:kern w:val="0"/>
          <w:szCs w:val="21"/>
          <w:lang w:val="zh-CN" w:bidi="zh-CN"/>
        </w:rPr>
        <w:t>职业技能等级证书一览表</w:t>
      </w:r>
    </w:p>
    <w:tbl>
      <w:tblPr>
        <w:tblStyle w:val="35"/>
        <w:tblW w:w="7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312"/>
        <w:gridCol w:w="2693"/>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cs="宋体" w:asciiTheme="majorEastAsia" w:hAnsiTheme="majorEastAsia" w:eastAsiaTheme="majorEastAsia"/>
                <w:b/>
                <w:bCs/>
                <w:kern w:val="0"/>
                <w:szCs w:val="21"/>
                <w:lang w:val="zh-CN" w:bidi="zh-CN"/>
              </w:rPr>
              <w:t>序号</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cs="宋体" w:asciiTheme="majorEastAsia" w:hAnsiTheme="majorEastAsia" w:eastAsiaTheme="majorEastAsia"/>
                <w:b/>
                <w:bCs/>
                <w:kern w:val="0"/>
                <w:szCs w:val="21"/>
                <w:lang w:val="zh-CN" w:bidi="zh-CN"/>
              </w:rPr>
              <w:t>职业</w:t>
            </w:r>
            <w:r>
              <w:rPr>
                <w:rFonts w:hint="eastAsia" w:cs="宋体" w:asciiTheme="majorEastAsia" w:hAnsiTheme="majorEastAsia" w:eastAsiaTheme="majorEastAsia"/>
                <w:b/>
                <w:bCs/>
                <w:kern w:val="0"/>
                <w:szCs w:val="21"/>
                <w:lang w:val="zh-CN" w:bidi="zh-CN"/>
              </w:rPr>
              <w:t>技能等级</w:t>
            </w:r>
            <w:r>
              <w:rPr>
                <w:rFonts w:cs="宋体" w:asciiTheme="majorEastAsia" w:hAnsiTheme="majorEastAsia" w:eastAsiaTheme="majorEastAsia"/>
                <w:b/>
                <w:bCs/>
                <w:kern w:val="0"/>
                <w:szCs w:val="21"/>
                <w:lang w:val="zh-CN" w:bidi="zh-CN"/>
              </w:rPr>
              <w:t>证书名称</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cs="宋体" w:asciiTheme="majorEastAsia" w:hAnsiTheme="majorEastAsia" w:eastAsiaTheme="majorEastAsia"/>
                <w:b/>
                <w:bCs/>
                <w:kern w:val="0"/>
                <w:szCs w:val="21"/>
                <w:lang w:val="zh-CN" w:bidi="zh-CN"/>
              </w:rPr>
              <w:t>颁证单位</w:t>
            </w:r>
          </w:p>
        </w:tc>
        <w:tc>
          <w:tcPr>
            <w:tcW w:w="898"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hint="eastAsia" w:cs="宋体" w:asciiTheme="majorEastAsia" w:hAnsiTheme="majorEastAsia" w:eastAsiaTheme="majorEastAsia"/>
                <w:b/>
                <w:bCs/>
                <w:kern w:val="0"/>
                <w:szCs w:val="21"/>
                <w:lang w:val="zh-CN" w:bidi="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bookmarkStart w:id="44" w:name="_Hlk72407379"/>
            <w:r>
              <w:rPr>
                <w:rFonts w:cs="宋体" w:asciiTheme="majorEastAsia" w:hAnsiTheme="majorEastAsia" w:eastAsiaTheme="majorEastAsia"/>
                <w:kern w:val="0"/>
                <w:szCs w:val="21"/>
                <w:lang w:bidi="zh-CN"/>
              </w:rPr>
              <w:t>1</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华为HC</w:t>
            </w:r>
            <w:r>
              <w:rPr>
                <w:rFonts w:cs="宋体" w:asciiTheme="majorEastAsia" w:hAnsiTheme="majorEastAsia" w:eastAsiaTheme="majorEastAsia"/>
                <w:kern w:val="0"/>
                <w:szCs w:val="21"/>
                <w:lang w:bidi="zh-CN"/>
              </w:rPr>
              <w:t>I</w:t>
            </w:r>
            <w:r>
              <w:rPr>
                <w:rFonts w:hint="eastAsia" w:cs="宋体" w:asciiTheme="majorEastAsia" w:hAnsiTheme="majorEastAsia" w:eastAsiaTheme="majorEastAsia"/>
                <w:kern w:val="0"/>
                <w:szCs w:val="21"/>
                <w:lang w:bidi="zh-CN"/>
              </w:rPr>
              <w:t>A-安全（A级）</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华为技术有限公司</w:t>
            </w:r>
          </w:p>
        </w:tc>
        <w:tc>
          <w:tcPr>
            <w:tcW w:w="898" w:type="dxa"/>
            <w:vMerge w:val="restar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选考其中一个或多个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cs="宋体" w:asciiTheme="majorEastAsia" w:hAnsiTheme="majorEastAsia" w:eastAsiaTheme="majorEastAsia"/>
                <w:kern w:val="0"/>
                <w:szCs w:val="21"/>
                <w:lang w:bidi="zh-CN"/>
              </w:rPr>
              <w:t>2</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红帽认证工程师（RHCE）</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红帽l</w:t>
            </w:r>
            <w:r>
              <w:rPr>
                <w:rFonts w:cs="宋体" w:asciiTheme="majorEastAsia" w:hAnsiTheme="majorEastAsia" w:eastAsiaTheme="majorEastAsia"/>
                <w:kern w:val="0"/>
                <w:szCs w:val="21"/>
                <w:lang w:bidi="zh-CN"/>
              </w:rPr>
              <w:t>inux</w:t>
            </w:r>
            <w:r>
              <w:rPr>
                <w:rFonts w:hint="eastAsia" w:cs="宋体" w:asciiTheme="majorEastAsia" w:hAnsiTheme="majorEastAsia" w:eastAsiaTheme="majorEastAsia"/>
                <w:kern w:val="0"/>
                <w:szCs w:val="21"/>
                <w:lang w:bidi="zh-CN"/>
              </w:rPr>
              <w:t>公司</w:t>
            </w:r>
          </w:p>
        </w:tc>
        <w:tc>
          <w:tcPr>
            <w:tcW w:w="898" w:type="dxa"/>
            <w:vMerge w:val="continue"/>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3</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CISP-PTE渗透测试工程师</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中国信息安全测评中心</w:t>
            </w:r>
          </w:p>
        </w:tc>
        <w:tc>
          <w:tcPr>
            <w:tcW w:w="898" w:type="dxa"/>
            <w:vMerge w:val="continue"/>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4</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企业网络安全防护(1+X初级)</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公安部第三研究所</w:t>
            </w:r>
          </w:p>
        </w:tc>
        <w:tc>
          <w:tcPr>
            <w:tcW w:w="898" w:type="dxa"/>
            <w:vMerge w:val="continue"/>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5</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企业网络安全防护（1+X中级）</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公安部第三研究所</w:t>
            </w:r>
          </w:p>
        </w:tc>
        <w:tc>
          <w:tcPr>
            <w:tcW w:w="898" w:type="dxa"/>
            <w:vMerge w:val="continue"/>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6</w:t>
            </w:r>
          </w:p>
        </w:tc>
        <w:tc>
          <w:tcPr>
            <w:tcW w:w="3312"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网络安全应急响应（1+X中级）</w:t>
            </w:r>
          </w:p>
        </w:tc>
        <w:tc>
          <w:tcPr>
            <w:tcW w:w="2693" w:type="dxa"/>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奇安信科技集团股份有限公司</w:t>
            </w:r>
          </w:p>
        </w:tc>
        <w:tc>
          <w:tcPr>
            <w:tcW w:w="898" w:type="dxa"/>
            <w:vMerge w:val="continue"/>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p>
        </w:tc>
      </w:tr>
      <w:bookmarkEnd w:id="44"/>
    </w:tbl>
    <w:p>
      <w:pPr>
        <w:spacing w:after="160" w:line="300" w:lineRule="auto"/>
        <w:ind w:firstLine="240" w:firstLineChars="100"/>
        <w:rPr>
          <w:rFonts w:ascii="Times New Roman" w:hAnsi="Times New Roman" w:eastAsia="宋体" w:cs="Times New Roman"/>
          <w:sz w:val="24"/>
          <w:szCs w:val="24"/>
        </w:rPr>
      </w:pPr>
      <w:bookmarkStart w:id="45" w:name="_GoBack"/>
      <w:bookmarkEnd w:id="45"/>
    </w:p>
    <w:sectPr>
      <w:footerReference r:id="rId4" w:type="default"/>
      <w:pgSz w:w="11906" w:h="16838"/>
      <w:pgMar w:top="1134" w:right="1418" w:bottom="1134" w:left="1418"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jc w:val="center"/>
    </w:pPr>
    <w:r>
      <w:rPr>
        <w:lang w:val="zh-CN"/>
      </w:rPr>
      <w:fldChar w:fldCharType="begin"/>
    </w:r>
    <w:r>
      <w:instrText xml:space="preserve"> PAGE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jc w:val="center"/>
    </w:pPr>
    <w:r>
      <w:rPr>
        <w:lang w:val="zh-CN"/>
      </w:rPr>
      <w:fldChar w:fldCharType="begin"/>
    </w:r>
    <w:r>
      <w:instrText xml:space="preserve"> PAGE </w:instrText>
    </w:r>
    <w:r>
      <w:fldChar w:fldCharType="separate"/>
    </w:r>
    <w:r>
      <w:t>33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EB78CA"/>
    <w:multiLevelType w:val="multilevel"/>
    <w:tmpl w:val="7DEB78C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904CA0"/>
    <w:rsid w:val="00001785"/>
    <w:rsid w:val="00005F96"/>
    <w:rsid w:val="00021B22"/>
    <w:rsid w:val="000244DF"/>
    <w:rsid w:val="00035BE4"/>
    <w:rsid w:val="00040214"/>
    <w:rsid w:val="00040867"/>
    <w:rsid w:val="00041104"/>
    <w:rsid w:val="00042268"/>
    <w:rsid w:val="000435C1"/>
    <w:rsid w:val="00051D76"/>
    <w:rsid w:val="0005287C"/>
    <w:rsid w:val="00052C43"/>
    <w:rsid w:val="000548AC"/>
    <w:rsid w:val="00056F46"/>
    <w:rsid w:val="000666D1"/>
    <w:rsid w:val="0006742D"/>
    <w:rsid w:val="00076BBD"/>
    <w:rsid w:val="00083F7B"/>
    <w:rsid w:val="000904A8"/>
    <w:rsid w:val="00096720"/>
    <w:rsid w:val="000A0725"/>
    <w:rsid w:val="000A3544"/>
    <w:rsid w:val="000A6A8F"/>
    <w:rsid w:val="000B64F9"/>
    <w:rsid w:val="000C0CA6"/>
    <w:rsid w:val="000C0E06"/>
    <w:rsid w:val="000C2FE2"/>
    <w:rsid w:val="000C5BCA"/>
    <w:rsid w:val="000C5C51"/>
    <w:rsid w:val="000D0697"/>
    <w:rsid w:val="000D06E5"/>
    <w:rsid w:val="000D467D"/>
    <w:rsid w:val="000D5116"/>
    <w:rsid w:val="000D7AD7"/>
    <w:rsid w:val="000F01F7"/>
    <w:rsid w:val="000F6AF7"/>
    <w:rsid w:val="00113D39"/>
    <w:rsid w:val="00115294"/>
    <w:rsid w:val="00115AA9"/>
    <w:rsid w:val="00121D84"/>
    <w:rsid w:val="00130148"/>
    <w:rsid w:val="00140235"/>
    <w:rsid w:val="0015019D"/>
    <w:rsid w:val="00154F88"/>
    <w:rsid w:val="00155D03"/>
    <w:rsid w:val="00161D5C"/>
    <w:rsid w:val="00164D99"/>
    <w:rsid w:val="00165E56"/>
    <w:rsid w:val="00170783"/>
    <w:rsid w:val="0017713E"/>
    <w:rsid w:val="00181599"/>
    <w:rsid w:val="001912EE"/>
    <w:rsid w:val="00191EB6"/>
    <w:rsid w:val="0019243F"/>
    <w:rsid w:val="0019275D"/>
    <w:rsid w:val="0019303C"/>
    <w:rsid w:val="0019647D"/>
    <w:rsid w:val="00197CBC"/>
    <w:rsid w:val="00197DD4"/>
    <w:rsid w:val="001A1566"/>
    <w:rsid w:val="001A55B6"/>
    <w:rsid w:val="001A675B"/>
    <w:rsid w:val="001A685A"/>
    <w:rsid w:val="001B547A"/>
    <w:rsid w:val="001B5957"/>
    <w:rsid w:val="001B617F"/>
    <w:rsid w:val="001B65BA"/>
    <w:rsid w:val="001C36FE"/>
    <w:rsid w:val="001C3B58"/>
    <w:rsid w:val="001D49FB"/>
    <w:rsid w:val="001E01AA"/>
    <w:rsid w:val="001E3424"/>
    <w:rsid w:val="001F0943"/>
    <w:rsid w:val="001F62E9"/>
    <w:rsid w:val="00201223"/>
    <w:rsid w:val="00212BC6"/>
    <w:rsid w:val="00217C0F"/>
    <w:rsid w:val="00221489"/>
    <w:rsid w:val="00224533"/>
    <w:rsid w:val="002246FB"/>
    <w:rsid w:val="00226322"/>
    <w:rsid w:val="00226FD5"/>
    <w:rsid w:val="00231A64"/>
    <w:rsid w:val="00231FB2"/>
    <w:rsid w:val="00236894"/>
    <w:rsid w:val="0025328C"/>
    <w:rsid w:val="0025466A"/>
    <w:rsid w:val="00256B40"/>
    <w:rsid w:val="00262B8B"/>
    <w:rsid w:val="00271B64"/>
    <w:rsid w:val="00272486"/>
    <w:rsid w:val="00272E19"/>
    <w:rsid w:val="00273F07"/>
    <w:rsid w:val="0027536A"/>
    <w:rsid w:val="0027644E"/>
    <w:rsid w:val="00281DA0"/>
    <w:rsid w:val="00284CD9"/>
    <w:rsid w:val="0028755A"/>
    <w:rsid w:val="002A05B6"/>
    <w:rsid w:val="002A6423"/>
    <w:rsid w:val="002B0452"/>
    <w:rsid w:val="002B1A81"/>
    <w:rsid w:val="002B2858"/>
    <w:rsid w:val="002B62C0"/>
    <w:rsid w:val="002D4819"/>
    <w:rsid w:val="002D6211"/>
    <w:rsid w:val="002E3C2E"/>
    <w:rsid w:val="002F26BA"/>
    <w:rsid w:val="002F4E67"/>
    <w:rsid w:val="00300C1F"/>
    <w:rsid w:val="00306BCD"/>
    <w:rsid w:val="00314ECF"/>
    <w:rsid w:val="00317BA9"/>
    <w:rsid w:val="00322469"/>
    <w:rsid w:val="00323B46"/>
    <w:rsid w:val="0032796D"/>
    <w:rsid w:val="00332477"/>
    <w:rsid w:val="00334DB5"/>
    <w:rsid w:val="0034411B"/>
    <w:rsid w:val="0034472C"/>
    <w:rsid w:val="0035209F"/>
    <w:rsid w:val="00352BC9"/>
    <w:rsid w:val="00361C28"/>
    <w:rsid w:val="00363186"/>
    <w:rsid w:val="003635BB"/>
    <w:rsid w:val="00365235"/>
    <w:rsid w:val="00365344"/>
    <w:rsid w:val="00367D02"/>
    <w:rsid w:val="003727C9"/>
    <w:rsid w:val="003766F8"/>
    <w:rsid w:val="003817D3"/>
    <w:rsid w:val="00381F30"/>
    <w:rsid w:val="00384148"/>
    <w:rsid w:val="003842CC"/>
    <w:rsid w:val="00395185"/>
    <w:rsid w:val="0039651C"/>
    <w:rsid w:val="003965A4"/>
    <w:rsid w:val="003A0523"/>
    <w:rsid w:val="003B177B"/>
    <w:rsid w:val="003B644C"/>
    <w:rsid w:val="003B6C1F"/>
    <w:rsid w:val="003C044D"/>
    <w:rsid w:val="003C1E65"/>
    <w:rsid w:val="003C4E8F"/>
    <w:rsid w:val="003C50BE"/>
    <w:rsid w:val="003C7097"/>
    <w:rsid w:val="003D3905"/>
    <w:rsid w:val="003D3B77"/>
    <w:rsid w:val="003D4A52"/>
    <w:rsid w:val="003D4AFB"/>
    <w:rsid w:val="003E3D07"/>
    <w:rsid w:val="003E7726"/>
    <w:rsid w:val="003F130A"/>
    <w:rsid w:val="00401616"/>
    <w:rsid w:val="00402F65"/>
    <w:rsid w:val="004103D7"/>
    <w:rsid w:val="0041313F"/>
    <w:rsid w:val="004131F5"/>
    <w:rsid w:val="00416396"/>
    <w:rsid w:val="004164AF"/>
    <w:rsid w:val="00417022"/>
    <w:rsid w:val="00417549"/>
    <w:rsid w:val="004205AD"/>
    <w:rsid w:val="00423919"/>
    <w:rsid w:val="00426C11"/>
    <w:rsid w:val="004272A9"/>
    <w:rsid w:val="004407F0"/>
    <w:rsid w:val="00441258"/>
    <w:rsid w:val="004439DA"/>
    <w:rsid w:val="00443C26"/>
    <w:rsid w:val="004554B4"/>
    <w:rsid w:val="0045617D"/>
    <w:rsid w:val="004632CC"/>
    <w:rsid w:val="00465C39"/>
    <w:rsid w:val="00467810"/>
    <w:rsid w:val="004854E2"/>
    <w:rsid w:val="004900CB"/>
    <w:rsid w:val="0049111E"/>
    <w:rsid w:val="004920C9"/>
    <w:rsid w:val="00492B6B"/>
    <w:rsid w:val="004A3614"/>
    <w:rsid w:val="004A7CE6"/>
    <w:rsid w:val="004B263B"/>
    <w:rsid w:val="004D0038"/>
    <w:rsid w:val="004D101E"/>
    <w:rsid w:val="004D59A4"/>
    <w:rsid w:val="004E37FB"/>
    <w:rsid w:val="004E3EFD"/>
    <w:rsid w:val="004E4A94"/>
    <w:rsid w:val="004E52F8"/>
    <w:rsid w:val="00507A2D"/>
    <w:rsid w:val="00507BBD"/>
    <w:rsid w:val="00510911"/>
    <w:rsid w:val="00511593"/>
    <w:rsid w:val="00517922"/>
    <w:rsid w:val="00526977"/>
    <w:rsid w:val="00526D5A"/>
    <w:rsid w:val="005314D0"/>
    <w:rsid w:val="00534C8F"/>
    <w:rsid w:val="00541F79"/>
    <w:rsid w:val="00545C1C"/>
    <w:rsid w:val="0055141D"/>
    <w:rsid w:val="0055400E"/>
    <w:rsid w:val="00564989"/>
    <w:rsid w:val="00566509"/>
    <w:rsid w:val="00566C1E"/>
    <w:rsid w:val="0057451C"/>
    <w:rsid w:val="00586BD1"/>
    <w:rsid w:val="00594883"/>
    <w:rsid w:val="00596202"/>
    <w:rsid w:val="00597649"/>
    <w:rsid w:val="005A0461"/>
    <w:rsid w:val="005A221C"/>
    <w:rsid w:val="005A45A1"/>
    <w:rsid w:val="005A6D9D"/>
    <w:rsid w:val="005B2BD1"/>
    <w:rsid w:val="005B3146"/>
    <w:rsid w:val="005B3F55"/>
    <w:rsid w:val="005B48AC"/>
    <w:rsid w:val="005B6068"/>
    <w:rsid w:val="005C162F"/>
    <w:rsid w:val="005C4AC2"/>
    <w:rsid w:val="005C63E0"/>
    <w:rsid w:val="005C7187"/>
    <w:rsid w:val="005D1CA0"/>
    <w:rsid w:val="005D6433"/>
    <w:rsid w:val="005E36BD"/>
    <w:rsid w:val="005E4C9C"/>
    <w:rsid w:val="005E4EA0"/>
    <w:rsid w:val="005E6346"/>
    <w:rsid w:val="005F1E25"/>
    <w:rsid w:val="00607556"/>
    <w:rsid w:val="0061296C"/>
    <w:rsid w:val="0062248A"/>
    <w:rsid w:val="006244AE"/>
    <w:rsid w:val="006246AB"/>
    <w:rsid w:val="00625B4E"/>
    <w:rsid w:val="0062610C"/>
    <w:rsid w:val="00631814"/>
    <w:rsid w:val="006324A6"/>
    <w:rsid w:val="00641C61"/>
    <w:rsid w:val="006506F5"/>
    <w:rsid w:val="00660CC4"/>
    <w:rsid w:val="0066490E"/>
    <w:rsid w:val="00666E8C"/>
    <w:rsid w:val="006670ED"/>
    <w:rsid w:val="00667541"/>
    <w:rsid w:val="006736CE"/>
    <w:rsid w:val="0067455A"/>
    <w:rsid w:val="00686781"/>
    <w:rsid w:val="00690685"/>
    <w:rsid w:val="00690D60"/>
    <w:rsid w:val="0069548D"/>
    <w:rsid w:val="00695BEF"/>
    <w:rsid w:val="00695C58"/>
    <w:rsid w:val="00697347"/>
    <w:rsid w:val="006A6DC7"/>
    <w:rsid w:val="006B1B4B"/>
    <w:rsid w:val="006B415D"/>
    <w:rsid w:val="006B4E2E"/>
    <w:rsid w:val="006B73E0"/>
    <w:rsid w:val="006C0837"/>
    <w:rsid w:val="006C1CED"/>
    <w:rsid w:val="006C7430"/>
    <w:rsid w:val="006D1C63"/>
    <w:rsid w:val="006D4B78"/>
    <w:rsid w:val="006D7812"/>
    <w:rsid w:val="006E1343"/>
    <w:rsid w:val="006F1389"/>
    <w:rsid w:val="006F2402"/>
    <w:rsid w:val="006F4248"/>
    <w:rsid w:val="007003F0"/>
    <w:rsid w:val="00701A78"/>
    <w:rsid w:val="007027BD"/>
    <w:rsid w:val="00706C54"/>
    <w:rsid w:val="00717C45"/>
    <w:rsid w:val="007228EB"/>
    <w:rsid w:val="00722CA2"/>
    <w:rsid w:val="007370A4"/>
    <w:rsid w:val="00740310"/>
    <w:rsid w:val="0074179D"/>
    <w:rsid w:val="00743E41"/>
    <w:rsid w:val="007446C5"/>
    <w:rsid w:val="00744DA6"/>
    <w:rsid w:val="007569B6"/>
    <w:rsid w:val="00763689"/>
    <w:rsid w:val="007658E8"/>
    <w:rsid w:val="0077069F"/>
    <w:rsid w:val="00771109"/>
    <w:rsid w:val="00772F00"/>
    <w:rsid w:val="00775D27"/>
    <w:rsid w:val="00783117"/>
    <w:rsid w:val="007831EA"/>
    <w:rsid w:val="00785375"/>
    <w:rsid w:val="00790D3F"/>
    <w:rsid w:val="0079131C"/>
    <w:rsid w:val="007945F2"/>
    <w:rsid w:val="00794D95"/>
    <w:rsid w:val="007957CF"/>
    <w:rsid w:val="00795F70"/>
    <w:rsid w:val="00797086"/>
    <w:rsid w:val="007A0982"/>
    <w:rsid w:val="007A115E"/>
    <w:rsid w:val="007A1A13"/>
    <w:rsid w:val="007B15E9"/>
    <w:rsid w:val="007B4195"/>
    <w:rsid w:val="007C2A3F"/>
    <w:rsid w:val="007C5E51"/>
    <w:rsid w:val="007D0BCB"/>
    <w:rsid w:val="007D1FCE"/>
    <w:rsid w:val="007D5B84"/>
    <w:rsid w:val="007F101A"/>
    <w:rsid w:val="007F12D9"/>
    <w:rsid w:val="007F28D0"/>
    <w:rsid w:val="00800966"/>
    <w:rsid w:val="00802FA7"/>
    <w:rsid w:val="008036A2"/>
    <w:rsid w:val="0080472D"/>
    <w:rsid w:val="00807080"/>
    <w:rsid w:val="008073F4"/>
    <w:rsid w:val="00807538"/>
    <w:rsid w:val="00813165"/>
    <w:rsid w:val="0081484A"/>
    <w:rsid w:val="00815B49"/>
    <w:rsid w:val="00824405"/>
    <w:rsid w:val="00826FC7"/>
    <w:rsid w:val="0083123B"/>
    <w:rsid w:val="00833739"/>
    <w:rsid w:val="00835E13"/>
    <w:rsid w:val="00835EF6"/>
    <w:rsid w:val="00836C29"/>
    <w:rsid w:val="008476B6"/>
    <w:rsid w:val="008520C8"/>
    <w:rsid w:val="0085450A"/>
    <w:rsid w:val="00856E38"/>
    <w:rsid w:val="00861180"/>
    <w:rsid w:val="00861DD3"/>
    <w:rsid w:val="008623E5"/>
    <w:rsid w:val="00865EE8"/>
    <w:rsid w:val="00872F6F"/>
    <w:rsid w:val="008745FE"/>
    <w:rsid w:val="008771F4"/>
    <w:rsid w:val="008913AC"/>
    <w:rsid w:val="00891D60"/>
    <w:rsid w:val="00893778"/>
    <w:rsid w:val="008947F6"/>
    <w:rsid w:val="00894A19"/>
    <w:rsid w:val="00894D5C"/>
    <w:rsid w:val="0089556B"/>
    <w:rsid w:val="008A1C2D"/>
    <w:rsid w:val="008A25C3"/>
    <w:rsid w:val="008A4B3E"/>
    <w:rsid w:val="008B5697"/>
    <w:rsid w:val="008C10E7"/>
    <w:rsid w:val="008C3D1E"/>
    <w:rsid w:val="008D1627"/>
    <w:rsid w:val="008D3CB9"/>
    <w:rsid w:val="008D7E61"/>
    <w:rsid w:val="008E5506"/>
    <w:rsid w:val="008E6D27"/>
    <w:rsid w:val="008E737C"/>
    <w:rsid w:val="008E7842"/>
    <w:rsid w:val="008F10D3"/>
    <w:rsid w:val="008F76EF"/>
    <w:rsid w:val="00901A25"/>
    <w:rsid w:val="00904CA0"/>
    <w:rsid w:val="00907730"/>
    <w:rsid w:val="00907E09"/>
    <w:rsid w:val="00907F04"/>
    <w:rsid w:val="00914AB1"/>
    <w:rsid w:val="00916FF4"/>
    <w:rsid w:val="009174FA"/>
    <w:rsid w:val="00922414"/>
    <w:rsid w:val="009254DB"/>
    <w:rsid w:val="00925D45"/>
    <w:rsid w:val="00931E2A"/>
    <w:rsid w:val="009324DE"/>
    <w:rsid w:val="0093570F"/>
    <w:rsid w:val="0093628A"/>
    <w:rsid w:val="00941F7B"/>
    <w:rsid w:val="009427AB"/>
    <w:rsid w:val="00943C3C"/>
    <w:rsid w:val="00943D89"/>
    <w:rsid w:val="00944FFC"/>
    <w:rsid w:val="00945960"/>
    <w:rsid w:val="0096287A"/>
    <w:rsid w:val="009638C3"/>
    <w:rsid w:val="00970663"/>
    <w:rsid w:val="009713D6"/>
    <w:rsid w:val="00971C93"/>
    <w:rsid w:val="00974AAC"/>
    <w:rsid w:val="00974BA7"/>
    <w:rsid w:val="00981A80"/>
    <w:rsid w:val="009872A0"/>
    <w:rsid w:val="00992142"/>
    <w:rsid w:val="0099483F"/>
    <w:rsid w:val="009A077B"/>
    <w:rsid w:val="009A2FA6"/>
    <w:rsid w:val="009B1985"/>
    <w:rsid w:val="009C3485"/>
    <w:rsid w:val="009C6C7A"/>
    <w:rsid w:val="009D5DD5"/>
    <w:rsid w:val="009D7395"/>
    <w:rsid w:val="009E0A44"/>
    <w:rsid w:val="009E0E93"/>
    <w:rsid w:val="009E15CE"/>
    <w:rsid w:val="009F1EB0"/>
    <w:rsid w:val="009F35E6"/>
    <w:rsid w:val="009F61E5"/>
    <w:rsid w:val="009F6B05"/>
    <w:rsid w:val="009F6F1B"/>
    <w:rsid w:val="00A059D7"/>
    <w:rsid w:val="00A06B1A"/>
    <w:rsid w:val="00A07A7B"/>
    <w:rsid w:val="00A07D45"/>
    <w:rsid w:val="00A07F61"/>
    <w:rsid w:val="00A11A8E"/>
    <w:rsid w:val="00A137ED"/>
    <w:rsid w:val="00A30447"/>
    <w:rsid w:val="00A30B69"/>
    <w:rsid w:val="00A3102F"/>
    <w:rsid w:val="00A341AB"/>
    <w:rsid w:val="00A34C1F"/>
    <w:rsid w:val="00A36926"/>
    <w:rsid w:val="00A4619E"/>
    <w:rsid w:val="00A46305"/>
    <w:rsid w:val="00A66A8D"/>
    <w:rsid w:val="00A66C17"/>
    <w:rsid w:val="00A72491"/>
    <w:rsid w:val="00A76442"/>
    <w:rsid w:val="00A768AA"/>
    <w:rsid w:val="00A77CE4"/>
    <w:rsid w:val="00A77F28"/>
    <w:rsid w:val="00A80FEF"/>
    <w:rsid w:val="00A9438B"/>
    <w:rsid w:val="00A94956"/>
    <w:rsid w:val="00A97368"/>
    <w:rsid w:val="00AA0415"/>
    <w:rsid w:val="00AA0D74"/>
    <w:rsid w:val="00AA16FF"/>
    <w:rsid w:val="00AA6C51"/>
    <w:rsid w:val="00AA6E4C"/>
    <w:rsid w:val="00AB23F4"/>
    <w:rsid w:val="00AB32B1"/>
    <w:rsid w:val="00AB76CA"/>
    <w:rsid w:val="00AC0D6C"/>
    <w:rsid w:val="00AC2E11"/>
    <w:rsid w:val="00AC3E47"/>
    <w:rsid w:val="00AD21E7"/>
    <w:rsid w:val="00AE6529"/>
    <w:rsid w:val="00AE66E4"/>
    <w:rsid w:val="00AE7CE4"/>
    <w:rsid w:val="00AF6943"/>
    <w:rsid w:val="00AF6C68"/>
    <w:rsid w:val="00B02C82"/>
    <w:rsid w:val="00B04DC5"/>
    <w:rsid w:val="00B06C37"/>
    <w:rsid w:val="00B07682"/>
    <w:rsid w:val="00B106FC"/>
    <w:rsid w:val="00B16A32"/>
    <w:rsid w:val="00B31351"/>
    <w:rsid w:val="00B31F22"/>
    <w:rsid w:val="00B35EC5"/>
    <w:rsid w:val="00B428C3"/>
    <w:rsid w:val="00B440CA"/>
    <w:rsid w:val="00B4624D"/>
    <w:rsid w:val="00B47FCB"/>
    <w:rsid w:val="00B50084"/>
    <w:rsid w:val="00B53342"/>
    <w:rsid w:val="00B551BF"/>
    <w:rsid w:val="00B56131"/>
    <w:rsid w:val="00B61EB1"/>
    <w:rsid w:val="00B66D12"/>
    <w:rsid w:val="00B72A07"/>
    <w:rsid w:val="00B82270"/>
    <w:rsid w:val="00B83868"/>
    <w:rsid w:val="00B84516"/>
    <w:rsid w:val="00B84555"/>
    <w:rsid w:val="00B91924"/>
    <w:rsid w:val="00B9589E"/>
    <w:rsid w:val="00B97B45"/>
    <w:rsid w:val="00BA0771"/>
    <w:rsid w:val="00BA1AA6"/>
    <w:rsid w:val="00BB1BED"/>
    <w:rsid w:val="00BB389C"/>
    <w:rsid w:val="00BB3D31"/>
    <w:rsid w:val="00BC00CA"/>
    <w:rsid w:val="00BC5E94"/>
    <w:rsid w:val="00BC7CA1"/>
    <w:rsid w:val="00BD5EC7"/>
    <w:rsid w:val="00BE615B"/>
    <w:rsid w:val="00BF1331"/>
    <w:rsid w:val="00BF2626"/>
    <w:rsid w:val="00BF445C"/>
    <w:rsid w:val="00BF4561"/>
    <w:rsid w:val="00C0405D"/>
    <w:rsid w:val="00C07424"/>
    <w:rsid w:val="00C145A0"/>
    <w:rsid w:val="00C1510A"/>
    <w:rsid w:val="00C15320"/>
    <w:rsid w:val="00C354D8"/>
    <w:rsid w:val="00C40674"/>
    <w:rsid w:val="00C45B4D"/>
    <w:rsid w:val="00C55A84"/>
    <w:rsid w:val="00C61ACC"/>
    <w:rsid w:val="00C74F8B"/>
    <w:rsid w:val="00C76473"/>
    <w:rsid w:val="00C77E78"/>
    <w:rsid w:val="00C80103"/>
    <w:rsid w:val="00C824C0"/>
    <w:rsid w:val="00C8483C"/>
    <w:rsid w:val="00C84A5B"/>
    <w:rsid w:val="00C86504"/>
    <w:rsid w:val="00C868A1"/>
    <w:rsid w:val="00C86B4A"/>
    <w:rsid w:val="00C90DF8"/>
    <w:rsid w:val="00C9177F"/>
    <w:rsid w:val="00C92F54"/>
    <w:rsid w:val="00C95F63"/>
    <w:rsid w:val="00C97907"/>
    <w:rsid w:val="00CA0153"/>
    <w:rsid w:val="00CA4E0D"/>
    <w:rsid w:val="00CA5179"/>
    <w:rsid w:val="00CA727E"/>
    <w:rsid w:val="00CB0BE9"/>
    <w:rsid w:val="00CB44ED"/>
    <w:rsid w:val="00CB780D"/>
    <w:rsid w:val="00CC46F9"/>
    <w:rsid w:val="00CC6211"/>
    <w:rsid w:val="00CD1108"/>
    <w:rsid w:val="00CD4848"/>
    <w:rsid w:val="00CD5124"/>
    <w:rsid w:val="00CD6126"/>
    <w:rsid w:val="00CE5C5F"/>
    <w:rsid w:val="00CF0EEE"/>
    <w:rsid w:val="00CF1C98"/>
    <w:rsid w:val="00CF68E0"/>
    <w:rsid w:val="00CF7A7D"/>
    <w:rsid w:val="00D10623"/>
    <w:rsid w:val="00D10F7A"/>
    <w:rsid w:val="00D20B3B"/>
    <w:rsid w:val="00D31EDC"/>
    <w:rsid w:val="00D32A40"/>
    <w:rsid w:val="00D33F9F"/>
    <w:rsid w:val="00D415DD"/>
    <w:rsid w:val="00D474C5"/>
    <w:rsid w:val="00D47DB1"/>
    <w:rsid w:val="00D53F3E"/>
    <w:rsid w:val="00D6231B"/>
    <w:rsid w:val="00D66E17"/>
    <w:rsid w:val="00D70E34"/>
    <w:rsid w:val="00D72CAA"/>
    <w:rsid w:val="00D73B4F"/>
    <w:rsid w:val="00D81693"/>
    <w:rsid w:val="00D8285E"/>
    <w:rsid w:val="00D841EE"/>
    <w:rsid w:val="00D84399"/>
    <w:rsid w:val="00D9120B"/>
    <w:rsid w:val="00D91828"/>
    <w:rsid w:val="00D956C5"/>
    <w:rsid w:val="00DA04D8"/>
    <w:rsid w:val="00DA524C"/>
    <w:rsid w:val="00DA64F5"/>
    <w:rsid w:val="00DC49AE"/>
    <w:rsid w:val="00DC7077"/>
    <w:rsid w:val="00DC70BD"/>
    <w:rsid w:val="00DC7F38"/>
    <w:rsid w:val="00DD476C"/>
    <w:rsid w:val="00DD5C8F"/>
    <w:rsid w:val="00DD5D78"/>
    <w:rsid w:val="00DD5F50"/>
    <w:rsid w:val="00DE1579"/>
    <w:rsid w:val="00DE2F72"/>
    <w:rsid w:val="00DE3526"/>
    <w:rsid w:val="00DE41D2"/>
    <w:rsid w:val="00DF32CC"/>
    <w:rsid w:val="00DF5C76"/>
    <w:rsid w:val="00DF7A1C"/>
    <w:rsid w:val="00E02912"/>
    <w:rsid w:val="00E03CA3"/>
    <w:rsid w:val="00E05336"/>
    <w:rsid w:val="00E066B3"/>
    <w:rsid w:val="00E26B15"/>
    <w:rsid w:val="00E3668D"/>
    <w:rsid w:val="00E41D30"/>
    <w:rsid w:val="00E4322E"/>
    <w:rsid w:val="00E522CC"/>
    <w:rsid w:val="00E533C7"/>
    <w:rsid w:val="00E5476F"/>
    <w:rsid w:val="00E5659B"/>
    <w:rsid w:val="00E57D30"/>
    <w:rsid w:val="00E6003D"/>
    <w:rsid w:val="00E644FB"/>
    <w:rsid w:val="00E67090"/>
    <w:rsid w:val="00E71E7D"/>
    <w:rsid w:val="00E73E85"/>
    <w:rsid w:val="00E77C2B"/>
    <w:rsid w:val="00E810A9"/>
    <w:rsid w:val="00E863D3"/>
    <w:rsid w:val="00E86499"/>
    <w:rsid w:val="00E87FC8"/>
    <w:rsid w:val="00E971B9"/>
    <w:rsid w:val="00EA1F92"/>
    <w:rsid w:val="00EA7829"/>
    <w:rsid w:val="00EB0719"/>
    <w:rsid w:val="00EB23A0"/>
    <w:rsid w:val="00EB3649"/>
    <w:rsid w:val="00EC1199"/>
    <w:rsid w:val="00EC30EB"/>
    <w:rsid w:val="00EC4E9C"/>
    <w:rsid w:val="00EC6419"/>
    <w:rsid w:val="00EC7E07"/>
    <w:rsid w:val="00ED0BD9"/>
    <w:rsid w:val="00EE332B"/>
    <w:rsid w:val="00EE3E42"/>
    <w:rsid w:val="00EF36D0"/>
    <w:rsid w:val="00EF3B58"/>
    <w:rsid w:val="00EF4EB7"/>
    <w:rsid w:val="00EF5E71"/>
    <w:rsid w:val="00F034C5"/>
    <w:rsid w:val="00F03B7C"/>
    <w:rsid w:val="00F11BAA"/>
    <w:rsid w:val="00F11F19"/>
    <w:rsid w:val="00F13B3B"/>
    <w:rsid w:val="00F14891"/>
    <w:rsid w:val="00F15BCB"/>
    <w:rsid w:val="00F16922"/>
    <w:rsid w:val="00F2788B"/>
    <w:rsid w:val="00F32ECB"/>
    <w:rsid w:val="00F40505"/>
    <w:rsid w:val="00F436A9"/>
    <w:rsid w:val="00F43C67"/>
    <w:rsid w:val="00F47777"/>
    <w:rsid w:val="00F514B4"/>
    <w:rsid w:val="00F6213A"/>
    <w:rsid w:val="00F66235"/>
    <w:rsid w:val="00F67BE5"/>
    <w:rsid w:val="00F67D18"/>
    <w:rsid w:val="00F72FD5"/>
    <w:rsid w:val="00F73374"/>
    <w:rsid w:val="00F76252"/>
    <w:rsid w:val="00F84BBA"/>
    <w:rsid w:val="00F929D4"/>
    <w:rsid w:val="00F96070"/>
    <w:rsid w:val="00F971E7"/>
    <w:rsid w:val="00F9750C"/>
    <w:rsid w:val="00FA35C4"/>
    <w:rsid w:val="00FA400E"/>
    <w:rsid w:val="00FA5902"/>
    <w:rsid w:val="00FA5BBB"/>
    <w:rsid w:val="00FB27F9"/>
    <w:rsid w:val="00FB6601"/>
    <w:rsid w:val="00FC11B4"/>
    <w:rsid w:val="00FC3B26"/>
    <w:rsid w:val="00FC58ED"/>
    <w:rsid w:val="00FC65B3"/>
    <w:rsid w:val="00FC7AAB"/>
    <w:rsid w:val="00FD5901"/>
    <w:rsid w:val="00FE0505"/>
    <w:rsid w:val="00FE572D"/>
    <w:rsid w:val="00FF0F1C"/>
    <w:rsid w:val="00FF3959"/>
    <w:rsid w:val="00FF42D2"/>
    <w:rsid w:val="00FF4BA2"/>
    <w:rsid w:val="00FF4EE2"/>
    <w:rsid w:val="00FF5E73"/>
    <w:rsid w:val="79323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uiPriority="99" w:name="Normal Indent"/>
    <w:lsdException w:uiPriority="0" w:semiHidden="0" w:name="footnote text"/>
    <w:lsdException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unhideWhenUsed="0" w:uiPriority="0" w:semiHidden="0" w:name="Plain Text"/>
    <w:lsdException w:uiPriority="99" w:name="E-mail Signature"/>
    <w:lsdException w:qFormat="1" w:uiPriority="99"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iPriority="99" w:name="HTML Keyboard"/>
    <w:lsdException w:qFormat="1" w:uiPriority="0" w:semiHidden="0" w:name="HTML Preformatted"/>
    <w:lsdException w:uiPriority="99" w:name="HTML Sample"/>
    <w:lsdException w:uiPriority="99" w:name="HTML Typewriter"/>
    <w:lsdException w:qFormat="1"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2"/>
    <w:qFormat/>
    <w:uiPriority w:val="0"/>
    <w:pPr>
      <w:keepNext/>
      <w:keepLines/>
      <w:outlineLvl w:val="0"/>
    </w:pPr>
    <w:rPr>
      <w:rFonts w:ascii="Times New Roman" w:hAnsi="Times New Roman" w:eastAsia="宋体" w:cs="Times New Roman"/>
      <w:b/>
      <w:bCs/>
      <w:kern w:val="44"/>
      <w:sz w:val="44"/>
      <w:szCs w:val="44"/>
    </w:rPr>
  </w:style>
  <w:style w:type="paragraph" w:styleId="3">
    <w:name w:val="heading 2"/>
    <w:basedOn w:val="1"/>
    <w:next w:val="1"/>
    <w:link w:val="53"/>
    <w:qFormat/>
    <w:uiPriority w:val="9"/>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4"/>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55"/>
    <w:unhideWhenUsed/>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37">
    <w:name w:val="Default Paragraph Font"/>
    <w:semiHidden/>
    <w:unhideWhenUsed/>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0"/>
    <w:pPr>
      <w:ind w:left="2520" w:leftChars="1200"/>
    </w:pPr>
    <w:rPr>
      <w:rFonts w:ascii="Calibri" w:hAnsi="Calibri" w:eastAsia="宋体" w:cs="Times New Roman"/>
    </w:r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66"/>
    <w:qFormat/>
    <w:uiPriority w:val="99"/>
    <w:pPr>
      <w:shd w:val="clear" w:color="auto" w:fill="000080"/>
    </w:pPr>
    <w:rPr>
      <w:szCs w:val="24"/>
    </w:rPr>
  </w:style>
  <w:style w:type="paragraph" w:styleId="9">
    <w:name w:val="annotation text"/>
    <w:basedOn w:val="1"/>
    <w:link w:val="61"/>
    <w:uiPriority w:val="99"/>
    <w:pPr>
      <w:jc w:val="left"/>
    </w:pPr>
    <w:rPr>
      <w:rFonts w:ascii="Times New Roman" w:hAnsi="Times New Roman" w:eastAsia="宋体" w:cs="Times New Roman"/>
      <w:szCs w:val="24"/>
    </w:rPr>
  </w:style>
  <w:style w:type="paragraph" w:styleId="10">
    <w:name w:val="Body Text"/>
    <w:basedOn w:val="1"/>
    <w:link w:val="71"/>
    <w:uiPriority w:val="0"/>
    <w:pPr>
      <w:spacing w:after="120"/>
    </w:pPr>
    <w:rPr>
      <w:rFonts w:ascii="Times New Roman" w:hAnsi="Times New Roman" w:eastAsia="宋体" w:cs="Times New Roman"/>
      <w:szCs w:val="20"/>
    </w:rPr>
  </w:style>
  <w:style w:type="paragraph" w:styleId="11">
    <w:name w:val="Body Text Indent"/>
    <w:basedOn w:val="1"/>
    <w:link w:val="74"/>
    <w:uiPriority w:val="0"/>
    <w:pPr>
      <w:ind w:firstLine="640"/>
    </w:pPr>
    <w:rPr>
      <w:rFonts w:ascii="Times New Roman" w:hAnsi="Times New Roman" w:eastAsia="宋体" w:cs="Times New Roman"/>
      <w:sz w:val="32"/>
      <w:szCs w:val="24"/>
    </w:rPr>
  </w:style>
  <w:style w:type="paragraph" w:styleId="12">
    <w:name w:val="toc 5"/>
    <w:basedOn w:val="1"/>
    <w:next w:val="1"/>
    <w:unhideWhenUsed/>
    <w:qFormat/>
    <w:uiPriority w:val="0"/>
    <w:pPr>
      <w:ind w:left="1680" w:leftChars="800"/>
    </w:pPr>
    <w:rPr>
      <w:rFonts w:ascii="Calibri" w:hAnsi="Calibri" w:eastAsia="宋体" w:cs="Times New Roman"/>
    </w:rPr>
  </w:style>
  <w:style w:type="paragraph" w:styleId="13">
    <w:name w:val="toc 3"/>
    <w:basedOn w:val="1"/>
    <w:next w:val="1"/>
    <w:unhideWhenUsed/>
    <w:qFormat/>
    <w:uiPriority w:val="39"/>
    <w:pPr>
      <w:widowControl/>
      <w:spacing w:after="100" w:line="276" w:lineRule="auto"/>
      <w:ind w:left="440"/>
      <w:jc w:val="left"/>
    </w:pPr>
    <w:rPr>
      <w:rFonts w:ascii="Calibri" w:hAnsi="Calibri" w:eastAsia="宋体" w:cs="Times New Roman"/>
      <w:kern w:val="0"/>
      <w:sz w:val="22"/>
    </w:rPr>
  </w:style>
  <w:style w:type="paragraph" w:styleId="14">
    <w:name w:val="Plain Text"/>
    <w:basedOn w:val="1"/>
    <w:link w:val="84"/>
    <w:uiPriority w:val="0"/>
    <w:rPr>
      <w:rFonts w:ascii="宋体" w:hAnsi="Courier New" w:cs="Courier New"/>
      <w:szCs w:val="21"/>
    </w:rPr>
  </w:style>
  <w:style w:type="paragraph" w:styleId="15">
    <w:name w:val="toc 8"/>
    <w:basedOn w:val="1"/>
    <w:next w:val="1"/>
    <w:unhideWhenUsed/>
    <w:qFormat/>
    <w:uiPriority w:val="0"/>
    <w:pPr>
      <w:ind w:left="2940" w:leftChars="1400"/>
    </w:pPr>
    <w:rPr>
      <w:rFonts w:ascii="Calibri" w:hAnsi="Calibri" w:eastAsia="宋体" w:cs="Times New Roman"/>
    </w:rPr>
  </w:style>
  <w:style w:type="paragraph" w:styleId="16">
    <w:name w:val="Date"/>
    <w:basedOn w:val="1"/>
    <w:next w:val="1"/>
    <w:link w:val="63"/>
    <w:qFormat/>
    <w:uiPriority w:val="0"/>
    <w:pPr>
      <w:ind w:left="100" w:leftChars="2500"/>
    </w:pPr>
    <w:rPr>
      <w:szCs w:val="24"/>
    </w:rPr>
  </w:style>
  <w:style w:type="paragraph" w:styleId="17">
    <w:name w:val="Body Text Indent 2"/>
    <w:basedOn w:val="1"/>
    <w:link w:val="78"/>
    <w:qFormat/>
    <w:uiPriority w:val="0"/>
    <w:pPr>
      <w:spacing w:line="288" w:lineRule="auto"/>
      <w:ind w:firstLine="435"/>
    </w:pPr>
    <w:rPr>
      <w:sz w:val="24"/>
      <w:szCs w:val="24"/>
    </w:rPr>
  </w:style>
  <w:style w:type="paragraph" w:styleId="18">
    <w:name w:val="Balloon Text"/>
    <w:basedOn w:val="1"/>
    <w:link w:val="59"/>
    <w:semiHidden/>
    <w:unhideWhenUsed/>
    <w:qFormat/>
    <w:uiPriority w:val="99"/>
    <w:rPr>
      <w:rFonts w:ascii="Times New Roman" w:hAnsi="Times New Roman" w:eastAsia="宋体" w:cs="Times New Roman"/>
      <w:sz w:val="18"/>
      <w:szCs w:val="18"/>
    </w:rPr>
  </w:style>
  <w:style w:type="paragraph" w:styleId="19">
    <w:name w:val="footer"/>
    <w:basedOn w:val="1"/>
    <w:link w:val="51"/>
    <w:unhideWhenUsed/>
    <w:qFormat/>
    <w:uiPriority w:val="99"/>
    <w:pPr>
      <w:tabs>
        <w:tab w:val="center" w:pos="4153"/>
        <w:tab w:val="right" w:pos="8306"/>
      </w:tabs>
      <w:snapToGrid w:val="0"/>
      <w:jc w:val="left"/>
    </w:pPr>
    <w:rPr>
      <w:sz w:val="18"/>
      <w:szCs w:val="18"/>
    </w:rPr>
  </w:style>
  <w:style w:type="paragraph" w:styleId="20">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rPr>
      <w:rFonts w:ascii="Times New Roman" w:hAnsi="Times New Roman" w:eastAsia="宋体" w:cs="Times New Roman"/>
      <w:sz w:val="28"/>
      <w:szCs w:val="20"/>
    </w:rPr>
  </w:style>
  <w:style w:type="paragraph" w:styleId="22">
    <w:name w:val="toc 4"/>
    <w:basedOn w:val="1"/>
    <w:next w:val="1"/>
    <w:unhideWhenUsed/>
    <w:qFormat/>
    <w:uiPriority w:val="0"/>
    <w:pPr>
      <w:ind w:left="1260" w:leftChars="600"/>
    </w:pPr>
    <w:rPr>
      <w:rFonts w:ascii="Calibri" w:hAnsi="Calibri" w:eastAsia="宋体" w:cs="Times New Roman"/>
    </w:rPr>
  </w:style>
  <w:style w:type="paragraph" w:styleId="23">
    <w:name w:val="Subtitle"/>
    <w:basedOn w:val="1"/>
    <w:next w:val="1"/>
    <w:link w:val="68"/>
    <w:qFormat/>
    <w:uiPriority w:val="99"/>
    <w:pPr>
      <w:spacing w:before="240" w:after="60" w:line="312" w:lineRule="auto"/>
      <w:jc w:val="center"/>
      <w:outlineLvl w:val="1"/>
    </w:pPr>
    <w:rPr>
      <w:rFonts w:ascii="Cambria" w:hAnsi="Cambria" w:eastAsia="宋体" w:cs="Times New Roman"/>
      <w:b/>
      <w:bCs/>
      <w:kern w:val="28"/>
      <w:sz w:val="32"/>
      <w:szCs w:val="32"/>
    </w:rPr>
  </w:style>
  <w:style w:type="paragraph" w:styleId="24">
    <w:name w:val="footnote text"/>
    <w:basedOn w:val="1"/>
    <w:link w:val="87"/>
    <w:unhideWhenUsed/>
    <w:uiPriority w:val="0"/>
    <w:pPr>
      <w:snapToGrid w:val="0"/>
      <w:jc w:val="left"/>
    </w:pPr>
    <w:rPr>
      <w:rFonts w:ascii="Times New Roman" w:hAnsi="Times New Roman" w:eastAsia="宋体" w:cs="Times New Roman"/>
      <w:sz w:val="18"/>
      <w:szCs w:val="18"/>
    </w:rPr>
  </w:style>
  <w:style w:type="paragraph" w:styleId="25">
    <w:name w:val="toc 6"/>
    <w:basedOn w:val="1"/>
    <w:next w:val="1"/>
    <w:unhideWhenUsed/>
    <w:qFormat/>
    <w:uiPriority w:val="0"/>
    <w:pPr>
      <w:ind w:left="2100" w:leftChars="1000"/>
    </w:pPr>
    <w:rPr>
      <w:rFonts w:ascii="Calibri" w:hAnsi="Calibri" w:eastAsia="宋体" w:cs="Times New Roman"/>
    </w:rPr>
  </w:style>
  <w:style w:type="paragraph" w:styleId="26">
    <w:name w:val="Body Text Indent 3"/>
    <w:basedOn w:val="1"/>
    <w:link w:val="80"/>
    <w:uiPriority w:val="99"/>
    <w:pPr>
      <w:widowControl/>
      <w:ind w:firstLine="360" w:firstLineChars="100"/>
      <w:jc w:val="left"/>
    </w:pPr>
    <w:rPr>
      <w:sz w:val="36"/>
      <w:szCs w:val="36"/>
    </w:rPr>
  </w:style>
  <w:style w:type="paragraph" w:styleId="27">
    <w:name w:val="toc 2"/>
    <w:basedOn w:val="1"/>
    <w:next w:val="1"/>
    <w:qFormat/>
    <w:uiPriority w:val="39"/>
    <w:pPr>
      <w:ind w:left="420" w:leftChars="200"/>
    </w:pPr>
    <w:rPr>
      <w:rFonts w:ascii="Times New Roman" w:hAnsi="Times New Roman" w:eastAsia="宋体" w:cs="Times New Roman"/>
      <w:sz w:val="28"/>
      <w:szCs w:val="20"/>
    </w:rPr>
  </w:style>
  <w:style w:type="paragraph" w:styleId="28">
    <w:name w:val="toc 9"/>
    <w:basedOn w:val="1"/>
    <w:next w:val="1"/>
    <w:unhideWhenUsed/>
    <w:qFormat/>
    <w:uiPriority w:val="0"/>
    <w:pPr>
      <w:ind w:left="3360" w:leftChars="1600"/>
    </w:pPr>
    <w:rPr>
      <w:rFonts w:ascii="Calibri" w:hAnsi="Calibri" w:eastAsia="宋体" w:cs="Times New Roman"/>
    </w:rPr>
  </w:style>
  <w:style w:type="paragraph" w:styleId="29">
    <w:name w:val="HTML Preformatted"/>
    <w:basedOn w:val="1"/>
    <w:link w:val="9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lang w:val="zh-CN"/>
    </w:rPr>
  </w:style>
  <w:style w:type="paragraph" w:styleId="3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next w:val="1"/>
    <w:link w:val="88"/>
    <w:qFormat/>
    <w:uiPriority w:val="0"/>
    <w:pPr>
      <w:spacing w:before="240" w:after="60"/>
      <w:jc w:val="center"/>
      <w:outlineLvl w:val="0"/>
    </w:pPr>
    <w:rPr>
      <w:rFonts w:ascii="Cambria" w:hAnsi="Cambria" w:eastAsia="宋体" w:cs="Cambria"/>
      <w:b/>
      <w:bCs/>
      <w:sz w:val="32"/>
      <w:szCs w:val="32"/>
    </w:rPr>
  </w:style>
  <w:style w:type="paragraph" w:styleId="32">
    <w:name w:val="annotation subject"/>
    <w:basedOn w:val="9"/>
    <w:next w:val="9"/>
    <w:link w:val="75"/>
    <w:qFormat/>
    <w:uiPriority w:val="99"/>
    <w:rPr>
      <w:rFonts w:asciiTheme="minorHAnsi" w:hAnsiTheme="minorHAnsi" w:eastAsiaTheme="minorEastAsia" w:cstheme="minorBidi"/>
      <w:b/>
      <w:bCs/>
    </w:rPr>
  </w:style>
  <w:style w:type="paragraph" w:styleId="33">
    <w:name w:val="Body Text First Indent"/>
    <w:basedOn w:val="10"/>
    <w:link w:val="69"/>
    <w:uiPriority w:val="0"/>
    <w:pPr>
      <w:ind w:firstLine="420" w:firstLineChars="100"/>
    </w:pPr>
    <w:rPr>
      <w:rFonts w:asciiTheme="minorHAnsi" w:hAnsiTheme="minorHAnsi" w:eastAsiaTheme="minorEastAsia" w:cstheme="minorBidi"/>
      <w:szCs w:val="22"/>
    </w:rPr>
  </w:style>
  <w:style w:type="paragraph" w:styleId="34">
    <w:name w:val="Body Text First Indent 2"/>
    <w:basedOn w:val="11"/>
    <w:link w:val="72"/>
    <w:qFormat/>
    <w:uiPriority w:val="0"/>
    <w:pPr>
      <w:spacing w:after="120"/>
      <w:ind w:left="420" w:leftChars="200" w:firstLine="420" w:firstLineChars="200"/>
    </w:pPr>
    <w:rPr>
      <w:rFonts w:cs="Tahoma" w:asciiTheme="minorHAnsi" w:hAnsiTheme="minorHAnsi" w:eastAsiaTheme="minorEastAsia"/>
      <w:sz w:val="21"/>
    </w:rPr>
  </w:style>
  <w:style w:type="table" w:styleId="36">
    <w:name w:val="Table Grid"/>
    <w:basedOn w:val="3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bCs/>
    </w:rPr>
  </w:style>
  <w:style w:type="character" w:styleId="39">
    <w:name w:val="page number"/>
    <w:basedOn w:val="37"/>
    <w:qFormat/>
    <w:uiPriority w:val="0"/>
  </w:style>
  <w:style w:type="character" w:styleId="40">
    <w:name w:val="FollowedHyperlink"/>
    <w:qFormat/>
    <w:uiPriority w:val="99"/>
    <w:rPr>
      <w:color w:val="800080"/>
      <w:u w:val="single"/>
    </w:rPr>
  </w:style>
  <w:style w:type="character" w:styleId="41">
    <w:name w:val="Emphasis"/>
    <w:qFormat/>
    <w:uiPriority w:val="20"/>
    <w:rPr>
      <w:color w:val="auto"/>
    </w:rPr>
  </w:style>
  <w:style w:type="character" w:styleId="42">
    <w:name w:val="HTML Definition"/>
    <w:qFormat/>
    <w:uiPriority w:val="0"/>
    <w:rPr>
      <w:i/>
    </w:rPr>
  </w:style>
  <w:style w:type="character" w:styleId="43">
    <w:name w:val="HTML Acronym"/>
    <w:basedOn w:val="37"/>
    <w:qFormat/>
    <w:uiPriority w:val="0"/>
  </w:style>
  <w:style w:type="character" w:styleId="44">
    <w:name w:val="HTML Variable"/>
    <w:qFormat/>
    <w:uiPriority w:val="0"/>
    <w:rPr>
      <w:i/>
    </w:rPr>
  </w:style>
  <w:style w:type="character" w:styleId="45">
    <w:name w:val="Hyperlink"/>
    <w:qFormat/>
    <w:uiPriority w:val="99"/>
    <w:rPr>
      <w:color w:val="0000FF"/>
      <w:u w:val="single"/>
    </w:rPr>
  </w:style>
  <w:style w:type="character" w:styleId="46">
    <w:name w:val="HTML Code"/>
    <w:qFormat/>
    <w:uiPriority w:val="0"/>
    <w:rPr>
      <w:rFonts w:ascii="Courier New" w:hAnsi="Courier New"/>
      <w:sz w:val="20"/>
    </w:rPr>
  </w:style>
  <w:style w:type="character" w:styleId="47">
    <w:name w:val="annotation reference"/>
    <w:unhideWhenUsed/>
    <w:qFormat/>
    <w:uiPriority w:val="99"/>
    <w:rPr>
      <w:sz w:val="21"/>
      <w:szCs w:val="21"/>
    </w:rPr>
  </w:style>
  <w:style w:type="character" w:styleId="48">
    <w:name w:val="HTML Cite"/>
    <w:qFormat/>
    <w:uiPriority w:val="0"/>
  </w:style>
  <w:style w:type="character" w:styleId="49">
    <w:name w:val="footnote reference"/>
    <w:unhideWhenUsed/>
    <w:qFormat/>
    <w:uiPriority w:val="0"/>
    <w:rPr>
      <w:vertAlign w:val="superscript"/>
    </w:rPr>
  </w:style>
  <w:style w:type="character" w:customStyle="1" w:styleId="50">
    <w:name w:val="页眉 字符"/>
    <w:basedOn w:val="37"/>
    <w:link w:val="20"/>
    <w:qFormat/>
    <w:uiPriority w:val="99"/>
    <w:rPr>
      <w:sz w:val="18"/>
      <w:szCs w:val="18"/>
    </w:rPr>
  </w:style>
  <w:style w:type="character" w:customStyle="1" w:styleId="51">
    <w:name w:val="页脚 字符"/>
    <w:basedOn w:val="37"/>
    <w:link w:val="19"/>
    <w:qFormat/>
    <w:uiPriority w:val="99"/>
    <w:rPr>
      <w:sz w:val="18"/>
      <w:szCs w:val="18"/>
    </w:rPr>
  </w:style>
  <w:style w:type="character" w:customStyle="1" w:styleId="52">
    <w:name w:val="标题 1 字符"/>
    <w:basedOn w:val="37"/>
    <w:link w:val="2"/>
    <w:qFormat/>
    <w:uiPriority w:val="9"/>
    <w:rPr>
      <w:rFonts w:ascii="Times New Roman" w:hAnsi="Times New Roman" w:eastAsia="宋体" w:cs="Times New Roman"/>
      <w:b/>
      <w:bCs/>
      <w:kern w:val="44"/>
      <w:sz w:val="44"/>
      <w:szCs w:val="44"/>
    </w:rPr>
  </w:style>
  <w:style w:type="character" w:customStyle="1" w:styleId="53">
    <w:name w:val="标题 2 字符"/>
    <w:basedOn w:val="37"/>
    <w:link w:val="3"/>
    <w:qFormat/>
    <w:uiPriority w:val="9"/>
    <w:rPr>
      <w:rFonts w:ascii="Arial" w:hAnsi="Arial" w:eastAsia="黑体" w:cs="Times New Roman"/>
      <w:b/>
      <w:sz w:val="32"/>
      <w:szCs w:val="20"/>
    </w:rPr>
  </w:style>
  <w:style w:type="character" w:customStyle="1" w:styleId="54">
    <w:name w:val="标题 3 字符"/>
    <w:basedOn w:val="37"/>
    <w:link w:val="4"/>
    <w:uiPriority w:val="0"/>
    <w:rPr>
      <w:rFonts w:ascii="Times New Roman" w:hAnsi="Times New Roman" w:eastAsia="宋体" w:cs="Times New Roman"/>
      <w:b/>
      <w:bCs/>
      <w:sz w:val="32"/>
      <w:szCs w:val="32"/>
    </w:rPr>
  </w:style>
  <w:style w:type="character" w:customStyle="1" w:styleId="55">
    <w:name w:val="标题 4 字符"/>
    <w:basedOn w:val="37"/>
    <w:link w:val="5"/>
    <w:uiPriority w:val="9"/>
    <w:rPr>
      <w:rFonts w:ascii="Cambria" w:hAnsi="Cambria" w:eastAsia="宋体" w:cs="Times New Roman"/>
      <w:b/>
      <w:bCs/>
      <w:sz w:val="28"/>
      <w:szCs w:val="28"/>
    </w:rPr>
  </w:style>
  <w:style w:type="paragraph" w:customStyle="1" w:styleId="56">
    <w:name w:val="列出段落2"/>
    <w:basedOn w:val="1"/>
    <w:uiPriority w:val="0"/>
    <w:pPr>
      <w:ind w:firstLine="420"/>
    </w:pPr>
    <w:rPr>
      <w:rFonts w:ascii="Times New Roman" w:hAnsi="Times New Roman" w:eastAsia="宋体" w:cs="Times New Roman"/>
      <w:szCs w:val="20"/>
    </w:rPr>
  </w:style>
  <w:style w:type="character" w:customStyle="1" w:styleId="57">
    <w:name w:val="正文文本 Char"/>
    <w:basedOn w:val="37"/>
    <w:uiPriority w:val="0"/>
  </w:style>
  <w:style w:type="character" w:customStyle="1" w:styleId="58">
    <w:name w:val="正文文本缩进 Char"/>
    <w:basedOn w:val="37"/>
    <w:qFormat/>
    <w:uiPriority w:val="0"/>
  </w:style>
  <w:style w:type="character" w:customStyle="1" w:styleId="59">
    <w:name w:val="批注框文本 字符"/>
    <w:basedOn w:val="37"/>
    <w:link w:val="18"/>
    <w:semiHidden/>
    <w:uiPriority w:val="99"/>
    <w:rPr>
      <w:rFonts w:ascii="Times New Roman" w:hAnsi="Times New Roman" w:eastAsia="宋体" w:cs="Times New Roman"/>
      <w:sz w:val="18"/>
      <w:szCs w:val="18"/>
    </w:rPr>
  </w:style>
  <w:style w:type="character" w:customStyle="1" w:styleId="60">
    <w:name w:val="apple-converted-space"/>
    <w:uiPriority w:val="0"/>
  </w:style>
  <w:style w:type="character" w:customStyle="1" w:styleId="61">
    <w:name w:val="批注文字 字符"/>
    <w:basedOn w:val="37"/>
    <w:link w:val="9"/>
    <w:uiPriority w:val="99"/>
    <w:rPr>
      <w:rFonts w:ascii="Times New Roman" w:hAnsi="Times New Roman" w:eastAsia="宋体" w:cs="Times New Roman"/>
      <w:szCs w:val="24"/>
    </w:rPr>
  </w:style>
  <w:style w:type="character" w:customStyle="1" w:styleId="62">
    <w:name w:val="批注框文本 Char1"/>
    <w:semiHidden/>
    <w:uiPriority w:val="99"/>
    <w:rPr>
      <w:rFonts w:ascii="Calibri" w:hAnsi="Calibri" w:eastAsia="宋体" w:cs="Times New Roman"/>
      <w:sz w:val="18"/>
      <w:szCs w:val="18"/>
    </w:rPr>
  </w:style>
  <w:style w:type="character" w:customStyle="1" w:styleId="63">
    <w:name w:val="日期 字符"/>
    <w:link w:val="16"/>
    <w:uiPriority w:val="0"/>
    <w:rPr>
      <w:szCs w:val="24"/>
    </w:rPr>
  </w:style>
  <w:style w:type="character" w:customStyle="1" w:styleId="64">
    <w:name w:val="日期 Char1"/>
    <w:basedOn w:val="37"/>
    <w:semiHidden/>
    <w:qFormat/>
    <w:uiPriority w:val="99"/>
  </w:style>
  <w:style w:type="paragraph" w:customStyle="1" w:styleId="65">
    <w:name w:val="样式 样式 标题 1 + 黑体 四号 +1"/>
    <w:basedOn w:val="1"/>
    <w:qFormat/>
    <w:uiPriority w:val="0"/>
    <w:pPr>
      <w:keepNext/>
      <w:keepLines/>
      <w:spacing w:line="360" w:lineRule="auto"/>
      <w:outlineLvl w:val="0"/>
    </w:pPr>
    <w:rPr>
      <w:rFonts w:ascii="黑体" w:hAnsi="黑体" w:eastAsia="黑体" w:cs="Times New Roman"/>
      <w:b/>
      <w:bCs/>
      <w:kern w:val="0"/>
      <w:sz w:val="28"/>
      <w:szCs w:val="44"/>
    </w:rPr>
  </w:style>
  <w:style w:type="character" w:customStyle="1" w:styleId="66">
    <w:name w:val="文档结构图 字符"/>
    <w:link w:val="8"/>
    <w:qFormat/>
    <w:uiPriority w:val="99"/>
    <w:rPr>
      <w:szCs w:val="24"/>
      <w:shd w:val="clear" w:color="auto" w:fill="000080"/>
    </w:rPr>
  </w:style>
  <w:style w:type="character" w:customStyle="1" w:styleId="67">
    <w:name w:val="文档结构图 Char1"/>
    <w:basedOn w:val="37"/>
    <w:semiHidden/>
    <w:uiPriority w:val="99"/>
    <w:rPr>
      <w:rFonts w:ascii="宋体" w:eastAsia="宋体"/>
      <w:sz w:val="18"/>
      <w:szCs w:val="18"/>
    </w:rPr>
  </w:style>
  <w:style w:type="character" w:customStyle="1" w:styleId="68">
    <w:name w:val="副标题 字符"/>
    <w:basedOn w:val="37"/>
    <w:link w:val="23"/>
    <w:uiPriority w:val="99"/>
    <w:rPr>
      <w:rFonts w:ascii="Cambria" w:hAnsi="Cambria" w:eastAsia="宋体" w:cs="Times New Roman"/>
      <w:b/>
      <w:bCs/>
      <w:kern w:val="28"/>
      <w:sz w:val="32"/>
      <w:szCs w:val="32"/>
    </w:rPr>
  </w:style>
  <w:style w:type="character" w:customStyle="1" w:styleId="69">
    <w:name w:val="正文文本首行缩进 字符"/>
    <w:link w:val="33"/>
    <w:uiPriority w:val="0"/>
  </w:style>
  <w:style w:type="character" w:customStyle="1" w:styleId="70">
    <w:name w:val="正文首行缩进 Char1"/>
    <w:basedOn w:val="57"/>
    <w:semiHidden/>
    <w:qFormat/>
    <w:uiPriority w:val="99"/>
  </w:style>
  <w:style w:type="character" w:customStyle="1" w:styleId="71">
    <w:name w:val="正文文本 字符"/>
    <w:link w:val="10"/>
    <w:qFormat/>
    <w:uiPriority w:val="0"/>
    <w:rPr>
      <w:rFonts w:ascii="Times New Roman" w:hAnsi="Times New Roman" w:eastAsia="宋体" w:cs="Times New Roman"/>
      <w:szCs w:val="20"/>
    </w:rPr>
  </w:style>
  <w:style w:type="character" w:customStyle="1" w:styleId="72">
    <w:name w:val="正文文本首行缩进 2 字符"/>
    <w:link w:val="34"/>
    <w:uiPriority w:val="0"/>
    <w:rPr>
      <w:rFonts w:cs="Tahoma"/>
      <w:szCs w:val="24"/>
    </w:rPr>
  </w:style>
  <w:style w:type="character" w:customStyle="1" w:styleId="73">
    <w:name w:val="正文首行缩进 2 Char1"/>
    <w:basedOn w:val="58"/>
    <w:semiHidden/>
    <w:uiPriority w:val="99"/>
  </w:style>
  <w:style w:type="character" w:customStyle="1" w:styleId="74">
    <w:name w:val="正文文本缩进 字符"/>
    <w:link w:val="11"/>
    <w:qFormat/>
    <w:uiPriority w:val="0"/>
    <w:rPr>
      <w:rFonts w:ascii="Times New Roman" w:hAnsi="Times New Roman" w:eastAsia="宋体" w:cs="Times New Roman"/>
      <w:sz w:val="32"/>
      <w:szCs w:val="24"/>
    </w:rPr>
  </w:style>
  <w:style w:type="character" w:customStyle="1" w:styleId="75">
    <w:name w:val="批注主题 字符"/>
    <w:link w:val="32"/>
    <w:qFormat/>
    <w:uiPriority w:val="99"/>
    <w:rPr>
      <w:b/>
      <w:bCs/>
      <w:szCs w:val="24"/>
    </w:rPr>
  </w:style>
  <w:style w:type="character" w:customStyle="1" w:styleId="76">
    <w:name w:val="批注主题 Char1"/>
    <w:basedOn w:val="61"/>
    <w:semiHidden/>
    <w:qFormat/>
    <w:uiPriority w:val="99"/>
    <w:rPr>
      <w:rFonts w:ascii="Times New Roman" w:hAnsi="Times New Roman" w:eastAsia="宋体" w:cs="Times New Roman"/>
      <w:b/>
      <w:bCs/>
      <w:szCs w:val="24"/>
    </w:rPr>
  </w:style>
  <w:style w:type="paragraph" w:customStyle="1" w:styleId="77">
    <w:name w:val="样式1"/>
    <w:basedOn w:val="1"/>
    <w:qFormat/>
    <w:uiPriority w:val="0"/>
    <w:rPr>
      <w:rFonts w:ascii="Times New Roman" w:hAnsi="Times New Roman" w:eastAsia="宋体" w:cs="Times New Roman"/>
      <w:szCs w:val="24"/>
    </w:rPr>
  </w:style>
  <w:style w:type="character" w:customStyle="1" w:styleId="78">
    <w:name w:val="正文文本缩进 2 字符"/>
    <w:link w:val="17"/>
    <w:qFormat/>
    <w:uiPriority w:val="0"/>
    <w:rPr>
      <w:sz w:val="24"/>
      <w:szCs w:val="24"/>
    </w:rPr>
  </w:style>
  <w:style w:type="character" w:customStyle="1" w:styleId="79">
    <w:name w:val="正文文本缩进 2 Char1"/>
    <w:basedOn w:val="37"/>
    <w:semiHidden/>
    <w:qFormat/>
    <w:uiPriority w:val="99"/>
  </w:style>
  <w:style w:type="character" w:customStyle="1" w:styleId="80">
    <w:name w:val="正文文本缩进 3 字符"/>
    <w:link w:val="26"/>
    <w:qFormat/>
    <w:uiPriority w:val="99"/>
    <w:rPr>
      <w:sz w:val="36"/>
      <w:szCs w:val="36"/>
    </w:rPr>
  </w:style>
  <w:style w:type="character" w:customStyle="1" w:styleId="81">
    <w:name w:val="正文文本缩进 3 Char1"/>
    <w:basedOn w:val="37"/>
    <w:semiHidden/>
    <w:qFormat/>
    <w:uiPriority w:val="99"/>
    <w:rPr>
      <w:sz w:val="16"/>
      <w:szCs w:val="16"/>
    </w:rPr>
  </w:style>
  <w:style w:type="paragraph" w:styleId="82">
    <w:name w:val="List Paragraph"/>
    <w:basedOn w:val="1"/>
    <w:qFormat/>
    <w:uiPriority w:val="99"/>
    <w:pPr>
      <w:ind w:firstLine="420" w:firstLineChars="200"/>
    </w:pPr>
    <w:rPr>
      <w:rFonts w:ascii="Calibri" w:hAnsi="Calibri" w:eastAsia="宋体" w:cs="Times New Roman"/>
    </w:rPr>
  </w:style>
  <w:style w:type="paragraph" w:customStyle="1" w:styleId="83">
    <w:name w:val="TOC Heading"/>
    <w:basedOn w:val="2"/>
    <w:next w:val="1"/>
    <w:qFormat/>
    <w:uiPriority w:val="39"/>
    <w:pPr>
      <w:widowControl/>
      <w:spacing w:before="480" w:beforeLines="50" w:afterLines="50" w:line="276" w:lineRule="auto"/>
      <w:jc w:val="left"/>
      <w:outlineLvl w:val="9"/>
    </w:pPr>
    <w:rPr>
      <w:rFonts w:ascii="Cambria" w:hAnsi="Cambria" w:eastAsia="黑体"/>
      <w:color w:val="365F91"/>
      <w:kern w:val="0"/>
      <w:sz w:val="28"/>
      <w:szCs w:val="28"/>
    </w:rPr>
  </w:style>
  <w:style w:type="character" w:customStyle="1" w:styleId="84">
    <w:name w:val="纯文本 字符"/>
    <w:link w:val="14"/>
    <w:qFormat/>
    <w:uiPriority w:val="0"/>
    <w:rPr>
      <w:rFonts w:ascii="宋体" w:hAnsi="Courier New" w:cs="Courier New"/>
      <w:szCs w:val="21"/>
    </w:rPr>
  </w:style>
  <w:style w:type="character" w:customStyle="1" w:styleId="85">
    <w:name w:val="纯文本 Char1"/>
    <w:basedOn w:val="37"/>
    <w:semiHidden/>
    <w:uiPriority w:val="99"/>
    <w:rPr>
      <w:rFonts w:ascii="宋体" w:hAnsi="Courier New" w:eastAsia="宋体" w:cs="Courier New"/>
      <w:szCs w:val="21"/>
    </w:rPr>
  </w:style>
  <w:style w:type="paragraph" w:customStyle="1" w:styleId="86">
    <w:name w:val="11表格文字居中"/>
    <w:basedOn w:val="1"/>
    <w:uiPriority w:val="0"/>
    <w:pPr>
      <w:spacing w:line="165" w:lineRule="atLeast"/>
      <w:jc w:val="center"/>
      <w:outlineLvl w:val="4"/>
    </w:pPr>
    <w:rPr>
      <w:rFonts w:ascii="Times New Roman" w:hAnsi="Times New Roman" w:eastAsia="宋体" w:cs="Times New Roman"/>
      <w:szCs w:val="21"/>
    </w:rPr>
  </w:style>
  <w:style w:type="character" w:customStyle="1" w:styleId="87">
    <w:name w:val="脚注文本 字符"/>
    <w:basedOn w:val="37"/>
    <w:link w:val="24"/>
    <w:qFormat/>
    <w:uiPriority w:val="0"/>
    <w:rPr>
      <w:rFonts w:ascii="Times New Roman" w:hAnsi="Times New Roman" w:eastAsia="宋体" w:cs="Times New Roman"/>
      <w:sz w:val="18"/>
      <w:szCs w:val="18"/>
    </w:rPr>
  </w:style>
  <w:style w:type="character" w:customStyle="1" w:styleId="88">
    <w:name w:val="标题 字符"/>
    <w:basedOn w:val="37"/>
    <w:link w:val="31"/>
    <w:qFormat/>
    <w:uiPriority w:val="0"/>
    <w:rPr>
      <w:rFonts w:ascii="Cambria" w:hAnsi="Cambria" w:eastAsia="宋体" w:cs="Cambria"/>
      <w:b/>
      <w:bCs/>
      <w:sz w:val="32"/>
      <w:szCs w:val="32"/>
    </w:rPr>
  </w:style>
  <w:style w:type="paragraph" w:customStyle="1" w:styleId="89">
    <w:name w:val="Char Char Char Char"/>
    <w:basedOn w:val="1"/>
    <w:semiHidden/>
    <w:uiPriority w:val="0"/>
    <w:pPr>
      <w:widowControl/>
      <w:spacing w:after="160" w:line="240" w:lineRule="exact"/>
      <w:jc w:val="left"/>
    </w:pPr>
    <w:rPr>
      <w:rFonts w:ascii="Verdana" w:hAnsi="Verdana" w:eastAsia="宋体" w:cs="Verdana"/>
      <w:kern w:val="0"/>
      <w:sz w:val="20"/>
      <w:szCs w:val="20"/>
      <w:lang w:eastAsia="en-US"/>
    </w:rPr>
  </w:style>
  <w:style w:type="paragraph" w:customStyle="1" w:styleId="90">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91">
    <w:name w:val="图表说明"/>
    <w:basedOn w:val="1"/>
    <w:qFormat/>
    <w:uiPriority w:val="0"/>
    <w:pPr>
      <w:jc w:val="center"/>
    </w:pPr>
    <w:rPr>
      <w:rFonts w:ascii="宋体" w:hAnsi="宋体" w:eastAsia="宋体" w:cs="Times New Roman"/>
      <w:sz w:val="24"/>
      <w:szCs w:val="24"/>
    </w:rPr>
  </w:style>
  <w:style w:type="paragraph" w:customStyle="1" w:styleId="92">
    <w:name w:val="样式 小四 行距: 1.5 倍行距"/>
    <w:basedOn w:val="1"/>
    <w:qFormat/>
    <w:uiPriority w:val="0"/>
    <w:pPr>
      <w:spacing w:line="360" w:lineRule="auto"/>
    </w:pPr>
    <w:rPr>
      <w:rFonts w:ascii="Times New Roman" w:hAnsi="Times New Roman" w:eastAsia="宋体" w:cs="Times New Roman"/>
      <w:sz w:val="24"/>
      <w:szCs w:val="24"/>
    </w:rPr>
  </w:style>
  <w:style w:type="paragraph" w:customStyle="1" w:styleId="93">
    <w:name w:val="样式2"/>
    <w:qFormat/>
    <w:uiPriority w:val="0"/>
    <w:pPr>
      <w:spacing w:line="400" w:lineRule="atLeast"/>
    </w:pPr>
    <w:rPr>
      <w:rFonts w:ascii="Times New Roman" w:hAnsi="Times New Roman" w:eastAsia="宋体" w:cs="Times New Roman"/>
      <w:kern w:val="2"/>
      <w:sz w:val="24"/>
      <w:szCs w:val="24"/>
      <w:lang w:val="en-US" w:eastAsia="zh-CN" w:bidi="ar-SA"/>
    </w:rPr>
  </w:style>
  <w:style w:type="paragraph" w:customStyle="1" w:styleId="94">
    <w:name w:val="列出段落1"/>
    <w:basedOn w:val="1"/>
    <w:qFormat/>
    <w:uiPriority w:val="0"/>
    <w:pPr>
      <w:ind w:firstLine="420" w:firstLineChars="200"/>
    </w:pPr>
    <w:rPr>
      <w:rFonts w:ascii="Calibri" w:hAnsi="Calibri" w:eastAsia="宋体" w:cs="Calibri"/>
      <w:szCs w:val="21"/>
    </w:rPr>
  </w:style>
  <w:style w:type="character" w:customStyle="1" w:styleId="95">
    <w:name w:val="Book Title"/>
    <w:qFormat/>
    <w:uiPriority w:val="99"/>
    <w:rPr>
      <w:b/>
      <w:bCs/>
      <w:smallCaps/>
      <w:spacing w:val="5"/>
    </w:rPr>
  </w:style>
  <w:style w:type="paragraph" w:customStyle="1" w:styleId="96">
    <w:name w:val="Char Char Char Char1 Char Char Char Char Char1 Char Char Char Char Char Char Char Char Char Char"/>
    <w:basedOn w:val="1"/>
    <w:semiHidden/>
    <w:qFormat/>
    <w:uiPriority w:val="0"/>
    <w:pPr>
      <w:widowControl/>
      <w:spacing w:after="160" w:line="240" w:lineRule="exact"/>
      <w:jc w:val="left"/>
    </w:pPr>
    <w:rPr>
      <w:rFonts w:ascii="Verdana" w:hAnsi="Verdana" w:eastAsia="宋体" w:cs="Times New Roman"/>
      <w:kern w:val="0"/>
      <w:sz w:val="20"/>
      <w:szCs w:val="20"/>
      <w:lang w:eastAsia="en-US"/>
    </w:rPr>
  </w:style>
  <w:style w:type="table" w:customStyle="1" w:styleId="97">
    <w:name w:val="网格型1"/>
    <w:basedOn w:val="35"/>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网格型2"/>
    <w:basedOn w:val="35"/>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
    <w:name w:val="HTML 预设格式 字符"/>
    <w:basedOn w:val="37"/>
    <w:link w:val="29"/>
    <w:qFormat/>
    <w:uiPriority w:val="0"/>
    <w:rPr>
      <w:rFonts w:ascii="宋体" w:hAnsi="宋体" w:eastAsia="宋体" w:cs="Times New Roman"/>
      <w:kern w:val="0"/>
      <w:sz w:val="24"/>
      <w:szCs w:val="24"/>
      <w:lang w:val="zh-CN"/>
    </w:rPr>
  </w:style>
  <w:style w:type="character" w:customStyle="1" w:styleId="100">
    <w:name w:val="seat1"/>
    <w:basedOn w:val="37"/>
    <w:qFormat/>
    <w:uiPriority w:val="0"/>
  </w:style>
  <w:style w:type="character" w:customStyle="1" w:styleId="101">
    <w:name w:val="ml95d"/>
    <w:basedOn w:val="37"/>
    <w:qFormat/>
    <w:uiPriority w:val="0"/>
  </w:style>
  <w:style w:type="character" w:customStyle="1" w:styleId="102">
    <w:name w:val="seat"/>
    <w:basedOn w:val="37"/>
    <w:qFormat/>
    <w:uiPriority w:val="0"/>
  </w:style>
  <w:style w:type="character" w:customStyle="1" w:styleId="103">
    <w:name w:val="ca-0"/>
    <w:qFormat/>
    <w:uiPriority w:val="0"/>
  </w:style>
  <w:style w:type="character" w:customStyle="1" w:styleId="104">
    <w:name w:val="apple-style-span"/>
    <w:qFormat/>
    <w:uiPriority w:val="0"/>
  </w:style>
  <w:style w:type="character" w:customStyle="1" w:styleId="105">
    <w:name w:val="body1"/>
    <w:qFormat/>
    <w:uiPriority w:val="0"/>
    <w:rPr>
      <w:rFonts w:hint="default" w:ascii="ˎ̥" w:hAnsi="ˎ̥"/>
      <w:color w:val="333333"/>
      <w:sz w:val="18"/>
      <w:szCs w:val="18"/>
      <w:u w:val="none"/>
    </w:rPr>
  </w:style>
  <w:style w:type="paragraph" w:customStyle="1" w:styleId="106">
    <w:name w:val="样式5"/>
    <w:basedOn w:val="1"/>
    <w:qFormat/>
    <w:uiPriority w:val="0"/>
    <w:pPr>
      <w:widowControl/>
      <w:spacing w:line="360" w:lineRule="auto"/>
      <w:ind w:firstLine="488" w:firstLineChars="200"/>
      <w:jc w:val="left"/>
    </w:pPr>
    <w:rPr>
      <w:rFonts w:ascii="Times New Roman" w:hAnsi="Times New Roman" w:eastAsia="宋体" w:cs="Times New Roman"/>
      <w:color w:val="FF0000"/>
      <w:kern w:val="0"/>
      <w:szCs w:val="21"/>
    </w:rPr>
  </w:style>
  <w:style w:type="paragraph" w:customStyle="1" w:styleId="107">
    <w:name w:val="图说"/>
    <w:basedOn w:val="1"/>
    <w:qFormat/>
    <w:uiPriority w:val="0"/>
    <w:pPr>
      <w:topLinePunct/>
      <w:adjustRightInd w:val="0"/>
      <w:spacing w:afterLines="50"/>
      <w:ind w:firstLine="200" w:firstLineChars="200"/>
      <w:jc w:val="center"/>
    </w:pPr>
    <w:rPr>
      <w:rFonts w:ascii="Times New Roman" w:hAnsi="Times New Roman" w:eastAsia="宋体" w:cs="Times New Roman"/>
      <w:sz w:val="18"/>
      <w:szCs w:val="18"/>
    </w:rPr>
  </w:style>
  <w:style w:type="paragraph" w:customStyle="1" w:styleId="108">
    <w:name w:val="OK"/>
    <w:basedOn w:val="1"/>
    <w:semiHidden/>
    <w:qFormat/>
    <w:uiPriority w:val="0"/>
    <w:pPr>
      <w:spacing w:line="400" w:lineRule="exact"/>
      <w:ind w:firstLine="200" w:firstLineChars="200"/>
      <w:jc w:val="left"/>
    </w:pPr>
    <w:rPr>
      <w:rFonts w:ascii="宋体" w:hAnsi="宋体" w:eastAsia="宋体" w:cs="Times New Roman"/>
      <w:bCs/>
      <w:sz w:val="24"/>
      <w:szCs w:val="24"/>
    </w:rPr>
  </w:style>
  <w:style w:type="paragraph" w:customStyle="1" w:styleId="109">
    <w:name w:val="b"/>
    <w:basedOn w:val="1"/>
    <w:qFormat/>
    <w:uiPriority w:val="0"/>
    <w:pPr>
      <w:spacing w:line="360" w:lineRule="auto"/>
      <w:ind w:firstLine="200" w:firstLineChars="200"/>
      <w:jc w:val="left"/>
    </w:pPr>
    <w:rPr>
      <w:rFonts w:ascii="Times New Roman" w:hAnsi="Times New Roman" w:eastAsia="宋体" w:cs="Times New Roman"/>
      <w:szCs w:val="24"/>
    </w:rPr>
  </w:style>
  <w:style w:type="paragraph" w:customStyle="1" w:styleId="110">
    <w:name w:val="11表格文字左对齐"/>
    <w:basedOn w:val="86"/>
    <w:qFormat/>
    <w:uiPriority w:val="0"/>
    <w:pPr>
      <w:spacing w:line="240" w:lineRule="auto"/>
      <w:ind w:firstLine="200" w:firstLineChars="200"/>
      <w:jc w:val="left"/>
    </w:pPr>
    <w:rPr>
      <w:sz w:val="18"/>
      <w:szCs w:val="24"/>
    </w:rPr>
  </w:style>
  <w:style w:type="paragraph" w:customStyle="1" w:styleId="111">
    <w:name w:val="Char"/>
    <w:basedOn w:val="1"/>
    <w:semiHidden/>
    <w:qFormat/>
    <w:uiPriority w:val="0"/>
    <w:pPr>
      <w:widowControl/>
      <w:spacing w:after="160" w:line="240" w:lineRule="exact"/>
      <w:ind w:firstLine="200" w:firstLineChars="200"/>
      <w:jc w:val="left"/>
    </w:pPr>
    <w:rPr>
      <w:rFonts w:ascii="Verdana" w:hAnsi="Verdana" w:eastAsia="宋体" w:cs="Times New Roman"/>
      <w:kern w:val="0"/>
      <w:sz w:val="20"/>
      <w:szCs w:val="20"/>
      <w:lang w:eastAsia="en-US"/>
    </w:rPr>
  </w:style>
  <w:style w:type="paragraph" w:customStyle="1" w:styleId="112">
    <w:name w:val="正文文本缩进1"/>
    <w:basedOn w:val="1"/>
    <w:qFormat/>
    <w:uiPriority w:val="0"/>
    <w:pPr>
      <w:spacing w:after="120"/>
      <w:ind w:left="420" w:leftChars="200" w:firstLine="200" w:firstLineChars="200"/>
      <w:jc w:val="left"/>
    </w:pPr>
    <w:rPr>
      <w:rFonts w:ascii="Times New Roman" w:hAnsi="Times New Roman" w:eastAsia="宋体" w:cs="Times New Roman"/>
      <w:szCs w:val="24"/>
    </w:rPr>
  </w:style>
  <w:style w:type="paragraph" w:customStyle="1" w:styleId="113">
    <w:name w:val="无间隔1"/>
    <w:link w:val="114"/>
    <w:qFormat/>
    <w:uiPriority w:val="1"/>
    <w:rPr>
      <w:rFonts w:ascii="Calibri" w:hAnsi="Calibri" w:eastAsia="宋体" w:cs="Times New Roman"/>
      <w:kern w:val="0"/>
      <w:sz w:val="22"/>
      <w:szCs w:val="22"/>
      <w:lang w:val="en-US" w:eastAsia="zh-CN" w:bidi="ar-SA"/>
    </w:rPr>
  </w:style>
  <w:style w:type="character" w:customStyle="1" w:styleId="114">
    <w:name w:val="无间隔 Char"/>
    <w:link w:val="113"/>
    <w:qFormat/>
    <w:uiPriority w:val="1"/>
    <w:rPr>
      <w:rFonts w:ascii="Calibri" w:hAnsi="Calibri" w:eastAsia="宋体" w:cs="Times New Roman"/>
      <w:kern w:val="0"/>
      <w:sz w:val="22"/>
    </w:rPr>
  </w:style>
  <w:style w:type="character" w:customStyle="1" w:styleId="115">
    <w:name w:val="OK Char Char"/>
    <w:semiHidden/>
    <w:qFormat/>
    <w:uiPriority w:val="0"/>
    <w:rPr>
      <w:rFonts w:ascii="宋体" w:hAnsi="宋体" w:eastAsia="宋体"/>
      <w:bCs/>
      <w:kern w:val="2"/>
      <w:sz w:val="24"/>
      <w:szCs w:val="24"/>
      <w:lang w:val="en-US" w:eastAsia="zh-CN" w:bidi="ar-SA"/>
    </w:rPr>
  </w:style>
  <w:style w:type="character" w:customStyle="1" w:styleId="116">
    <w:name w:val="company-name"/>
    <w:qFormat/>
    <w:uiPriority w:val="0"/>
  </w:style>
  <w:style w:type="character" w:customStyle="1" w:styleId="117">
    <w:name w:val="style81"/>
    <w:qFormat/>
    <w:uiPriority w:val="0"/>
    <w:rPr>
      <w:sz w:val="18"/>
      <w:szCs w:val="18"/>
    </w:rPr>
  </w:style>
  <w:style w:type="paragraph" w:customStyle="1" w:styleId="118">
    <w:name w:val="TOC 标题1"/>
    <w:basedOn w:val="2"/>
    <w:next w:val="1"/>
    <w:qFormat/>
    <w:uiPriority w:val="39"/>
    <w:pPr>
      <w:widowControl/>
      <w:spacing w:before="480" w:line="276" w:lineRule="auto"/>
      <w:jc w:val="left"/>
      <w:outlineLvl w:val="9"/>
    </w:pPr>
    <w:rPr>
      <w:rFonts w:ascii="Cambria" w:hAnsi="Cambria"/>
      <w:color w:val="365F91"/>
      <w:kern w:val="0"/>
      <w:sz w:val="28"/>
      <w:szCs w:val="28"/>
      <w:lang w:val="zh-CN"/>
    </w:rPr>
  </w:style>
  <w:style w:type="paragraph" w:customStyle="1" w:styleId="119">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
    <w:name w:val="正文1"/>
    <w:qFormat/>
    <w:uiPriority w:val="0"/>
    <w:pPr>
      <w:spacing w:line="300" w:lineRule="auto"/>
      <w:ind w:firstLine="420" w:firstLineChars="200"/>
    </w:pPr>
    <w:rPr>
      <w:rFonts w:ascii="宋体" w:hAnsi="宋体" w:eastAsia="宋体" w:cs="Times New Roman"/>
      <w:color w:val="FF0000"/>
      <w:kern w:val="0"/>
      <w:sz w:val="21"/>
      <w:szCs w:val="21"/>
      <w:lang w:val="en-US" w:eastAsia="zh-CN" w:bidi="ar-SA"/>
    </w:rPr>
  </w:style>
  <w:style w:type="paragraph" w:customStyle="1" w:styleId="121">
    <w:name w:val="列出段落3"/>
    <w:basedOn w:val="1"/>
    <w:qFormat/>
    <w:uiPriority w:val="0"/>
    <w:pPr>
      <w:ind w:firstLine="420" w:firstLineChars="200"/>
    </w:pPr>
    <w:rPr>
      <w:rFonts w:ascii="Calibri" w:hAnsi="Calibri" w:eastAsia="宋体" w:cs="Times New Roman"/>
    </w:rPr>
  </w:style>
  <w:style w:type="paragraph" w:customStyle="1" w:styleId="12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5">
    <w:name w:val="xl6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6">
    <w:name w:val="xl6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27">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Calibri" w:hAnsi="Calibri" w:eastAsia="宋体" w:cs="Calibri"/>
      <w:kern w:val="0"/>
      <w:sz w:val="18"/>
      <w:szCs w:val="18"/>
    </w:rPr>
  </w:style>
  <w:style w:type="paragraph" w:customStyle="1" w:styleId="128">
    <w:name w:val="xl66"/>
    <w:basedOn w:val="1"/>
    <w:qFormat/>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29">
    <w:name w:val="xl67"/>
    <w:basedOn w:val="1"/>
    <w:qFormat/>
    <w:uiPriority w:val="0"/>
    <w:pPr>
      <w:widowControl/>
      <w:pBdr>
        <w:top w:val="single" w:color="auto" w:sz="8" w:space="0"/>
        <w:left w:val="single" w:color="auto" w:sz="8" w:space="0"/>
        <w:bottom w:val="single" w:color="auto" w:sz="8" w:space="0"/>
        <w:right w:val="single" w:color="auto" w:sz="8" w:space="0"/>
      </w:pBdr>
      <w:shd w:val="clear" w:color="000000" w:fill="DAEEF3"/>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30">
    <w:name w:val="xl68"/>
    <w:basedOn w:val="1"/>
    <w:qFormat/>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宋体" w:hAnsi="宋体" w:eastAsia="宋体" w:cs="宋体"/>
      <w:kern w:val="0"/>
      <w:sz w:val="18"/>
      <w:szCs w:val="18"/>
    </w:rPr>
  </w:style>
  <w:style w:type="paragraph" w:customStyle="1" w:styleId="131">
    <w:name w:val="xl69"/>
    <w:basedOn w:val="1"/>
    <w:qFormat/>
    <w:uiPriority w:val="0"/>
    <w:pPr>
      <w:widowControl/>
      <w:pBdr>
        <w:top w:val="single" w:color="auto" w:sz="8" w:space="0"/>
        <w:left w:val="single" w:color="auto" w:sz="8" w:space="0"/>
        <w:bottom w:val="single" w:color="auto" w:sz="8" w:space="0"/>
        <w:right w:val="single" w:color="auto" w:sz="8" w:space="0"/>
      </w:pBdr>
      <w:shd w:val="clear" w:color="000000" w:fill="DAEEF3"/>
      <w:spacing w:before="100" w:beforeAutospacing="1" w:after="100" w:afterAutospacing="1"/>
      <w:jc w:val="center"/>
      <w:textAlignment w:val="center"/>
    </w:pPr>
    <w:rPr>
      <w:rFonts w:ascii="宋体" w:hAnsi="宋体" w:eastAsia="宋体" w:cs="宋体"/>
      <w:kern w:val="0"/>
      <w:sz w:val="18"/>
      <w:szCs w:val="18"/>
    </w:rPr>
  </w:style>
  <w:style w:type="paragraph" w:customStyle="1" w:styleId="132">
    <w:name w:val="xl70"/>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eastAsia="宋体" w:cs="宋体"/>
      <w:kern w:val="0"/>
      <w:sz w:val="18"/>
      <w:szCs w:val="18"/>
    </w:rPr>
  </w:style>
  <w:style w:type="paragraph" w:customStyle="1" w:styleId="133">
    <w:name w:val="xl71"/>
    <w:basedOn w:val="1"/>
    <w:qFormat/>
    <w:uiPriority w:val="0"/>
    <w:pPr>
      <w:widowControl/>
      <w:pBdr>
        <w:top w:val="single" w:color="auto" w:sz="8" w:space="0"/>
        <w:left w:val="single" w:color="auto" w:sz="8" w:space="0"/>
        <w:bottom w:val="single" w:color="auto" w:sz="8" w:space="0"/>
        <w:right w:val="single" w:color="auto" w:sz="8" w:space="0"/>
      </w:pBdr>
      <w:shd w:val="clear" w:color="000000" w:fill="FFFF00"/>
      <w:spacing w:before="100" w:beforeAutospacing="1" w:after="100" w:afterAutospacing="1"/>
      <w:jc w:val="center"/>
      <w:textAlignment w:val="center"/>
    </w:pPr>
    <w:rPr>
      <w:rFonts w:ascii="宋体" w:hAnsi="宋体" w:eastAsia="宋体" w:cs="宋体"/>
      <w:b/>
      <w:bCs/>
      <w:color w:val="FF0000"/>
      <w:kern w:val="0"/>
      <w:sz w:val="18"/>
      <w:szCs w:val="18"/>
    </w:rPr>
  </w:style>
  <w:style w:type="paragraph" w:customStyle="1" w:styleId="134">
    <w:name w:val="xl72"/>
    <w:basedOn w:val="1"/>
    <w:qFormat/>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宋体" w:hAnsi="宋体" w:eastAsia="宋体" w:cs="宋体"/>
      <w:kern w:val="0"/>
      <w:sz w:val="18"/>
      <w:szCs w:val="18"/>
    </w:rPr>
  </w:style>
  <w:style w:type="paragraph" w:customStyle="1" w:styleId="135">
    <w:name w:val="xl73"/>
    <w:basedOn w:val="1"/>
    <w:qFormat/>
    <w:uiPriority w:val="0"/>
    <w:pPr>
      <w:widowControl/>
      <w:pBdr>
        <w:top w:val="single" w:color="auto" w:sz="8" w:space="0"/>
        <w:left w:val="single" w:color="auto" w:sz="8" w:space="0"/>
        <w:bottom w:val="single" w:color="auto" w:sz="8" w:space="0"/>
        <w:right w:val="single" w:color="auto" w:sz="8" w:space="0"/>
      </w:pBdr>
      <w:shd w:val="clear" w:color="000000" w:fill="DAEEF3"/>
      <w:spacing w:before="100" w:beforeAutospacing="1" w:after="100" w:afterAutospacing="1"/>
      <w:jc w:val="center"/>
      <w:textAlignment w:val="center"/>
    </w:pPr>
    <w:rPr>
      <w:rFonts w:ascii="宋体" w:hAnsi="宋体" w:eastAsia="宋体" w:cs="宋体"/>
      <w:kern w:val="0"/>
      <w:sz w:val="18"/>
      <w:szCs w:val="18"/>
    </w:rPr>
  </w:style>
  <w:style w:type="paragraph" w:customStyle="1" w:styleId="136">
    <w:name w:val="xl74"/>
    <w:basedOn w:val="1"/>
    <w:qFormat/>
    <w:uiPriority w:val="0"/>
    <w:pPr>
      <w:widowControl/>
      <w:shd w:val="clear" w:color="000000" w:fill="FDE9D9"/>
      <w:spacing w:before="100" w:beforeAutospacing="1" w:after="100" w:afterAutospacing="1"/>
      <w:jc w:val="center"/>
    </w:pPr>
    <w:rPr>
      <w:rFonts w:ascii="宋体" w:hAnsi="宋体" w:eastAsia="宋体" w:cs="宋体"/>
      <w:kern w:val="0"/>
      <w:sz w:val="24"/>
      <w:szCs w:val="24"/>
    </w:rPr>
  </w:style>
  <w:style w:type="paragraph" w:customStyle="1" w:styleId="137">
    <w:name w:val="xl75"/>
    <w:basedOn w:val="1"/>
    <w:qFormat/>
    <w:uiPriority w:val="0"/>
    <w:pPr>
      <w:widowControl/>
      <w:pBdr>
        <w:top w:val="single" w:color="auto" w:sz="8" w:space="0"/>
        <w:left w:val="single" w:color="auto" w:sz="8" w:space="0"/>
        <w:bottom w:val="single" w:color="auto" w:sz="8" w:space="0"/>
        <w:right w:val="single" w:color="auto" w:sz="8" w:space="0"/>
      </w:pBdr>
      <w:shd w:val="clear" w:color="000000" w:fill="FDE9D9"/>
      <w:spacing w:before="100" w:beforeAutospacing="1" w:after="100" w:afterAutospacing="1"/>
      <w:jc w:val="center"/>
      <w:textAlignment w:val="center"/>
    </w:pPr>
    <w:rPr>
      <w:rFonts w:ascii="Calibri" w:hAnsi="Calibri" w:eastAsia="宋体" w:cs="Calibri"/>
      <w:kern w:val="0"/>
      <w:sz w:val="18"/>
      <w:szCs w:val="18"/>
    </w:rPr>
  </w:style>
  <w:style w:type="paragraph" w:customStyle="1" w:styleId="138">
    <w:name w:val="xl76"/>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kern w:val="0"/>
      <w:sz w:val="18"/>
      <w:szCs w:val="18"/>
    </w:rPr>
  </w:style>
  <w:style w:type="paragraph" w:customStyle="1" w:styleId="139">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40">
    <w:name w:val="xl7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41">
    <w:name w:val="xl79"/>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2">
    <w:name w:val="xl8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4">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kern w:val="0"/>
      <w:sz w:val="24"/>
      <w:szCs w:val="24"/>
    </w:rPr>
  </w:style>
  <w:style w:type="paragraph" w:customStyle="1" w:styleId="145">
    <w:name w:val="xl83"/>
    <w:basedOn w:val="1"/>
    <w:qFormat/>
    <w:uiPriority w:val="0"/>
    <w:pPr>
      <w:widowControl/>
      <w:pBdr>
        <w:top w:val="single" w:color="auto" w:sz="8" w:space="0"/>
        <w:left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6">
    <w:name w:val="xl84"/>
    <w:basedOn w:val="1"/>
    <w:qFormat/>
    <w:uiPriority w:val="0"/>
    <w:pPr>
      <w:widowControl/>
      <w:pBdr>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7">
    <w:name w:val="xl85"/>
    <w:basedOn w:val="1"/>
    <w:qFormat/>
    <w:uiPriority w:val="0"/>
    <w:pPr>
      <w:widowControl/>
      <w:pBdr>
        <w:bottom w:val="single" w:color="auto" w:sz="8" w:space="0"/>
      </w:pBdr>
      <w:spacing w:before="100" w:beforeAutospacing="1" w:after="100" w:afterAutospacing="1"/>
      <w:jc w:val="center"/>
    </w:pPr>
    <w:rPr>
      <w:rFonts w:ascii="宋体" w:hAnsi="宋体" w:eastAsia="宋体" w:cs="宋体"/>
      <w:b/>
      <w:bCs/>
      <w:kern w:val="0"/>
      <w:sz w:val="36"/>
      <w:szCs w:val="36"/>
    </w:rPr>
  </w:style>
  <w:style w:type="paragraph" w:customStyle="1" w:styleId="148">
    <w:name w:val="xl86"/>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49">
    <w:name w:val="Body text|1"/>
    <w:basedOn w:val="1"/>
    <w:qFormat/>
    <w:uiPriority w:val="0"/>
    <w:pPr>
      <w:spacing w:line="360" w:lineRule="auto"/>
      <w:ind w:firstLine="400"/>
    </w:pPr>
    <w:rPr>
      <w:rFonts w:ascii="宋体" w:hAnsi="宋体" w:eastAsia="宋体" w:cs="宋体"/>
      <w:sz w:val="19"/>
      <w:szCs w:val="19"/>
      <w:lang w:val="zh-TW" w:eastAsia="zh-TW" w:bidi="zh-TW"/>
    </w:rPr>
  </w:style>
  <w:style w:type="paragraph" w:customStyle="1" w:styleId="150">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51">
    <w:name w:val="xl87"/>
    <w:basedOn w:val="1"/>
    <w:qFormat/>
    <w:uiPriority w:val="0"/>
    <w:pPr>
      <w:widowControl/>
      <w:pBdr>
        <w:bottom w:val="single" w:color="000000" w:sz="8" w:space="0"/>
        <w:right w:val="single" w:color="000000" w:sz="8" w:space="0"/>
      </w:pBdr>
      <w:shd w:val="clear" w:color="000000" w:fill="DAEEF3"/>
      <w:spacing w:before="100" w:beforeAutospacing="1" w:after="100" w:afterAutospacing="1"/>
      <w:jc w:val="center"/>
    </w:pPr>
    <w:rPr>
      <w:rFonts w:ascii="黑体" w:hAnsi="黑体" w:eastAsia="黑体" w:cs="宋体"/>
      <w:b/>
      <w:bCs/>
      <w:color w:val="000000"/>
      <w:kern w:val="0"/>
      <w:sz w:val="18"/>
      <w:szCs w:val="18"/>
    </w:rPr>
  </w:style>
  <w:style w:type="paragraph" w:customStyle="1" w:styleId="152">
    <w:name w:val="xl88"/>
    <w:basedOn w:val="1"/>
    <w:qFormat/>
    <w:uiPriority w:val="0"/>
    <w:pPr>
      <w:widowControl/>
      <w:pBdr>
        <w:left w:val="single" w:color="000000" w:sz="8" w:space="0"/>
        <w:bottom w:val="single" w:color="000000" w:sz="8" w:space="0"/>
        <w:right w:val="single" w:color="000000" w:sz="8" w:space="0"/>
      </w:pBdr>
      <w:shd w:val="clear" w:color="000000" w:fill="DAEEF3"/>
      <w:spacing w:before="100" w:beforeAutospacing="1" w:after="100" w:afterAutospacing="1"/>
      <w:jc w:val="center"/>
    </w:pPr>
    <w:rPr>
      <w:rFonts w:ascii="黑体" w:hAnsi="黑体" w:eastAsia="黑体" w:cs="宋体"/>
      <w:b/>
      <w:bCs/>
      <w:color w:val="000000"/>
      <w:kern w:val="0"/>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D77EB-FC1A-415F-B3C0-1A0B7716450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25468</Words>
  <Characters>27133</Characters>
  <Lines>221</Lines>
  <Paragraphs>62</Paragraphs>
  <TotalTime>861</TotalTime>
  <ScaleCrop>false</ScaleCrop>
  <LinksUpToDate>false</LinksUpToDate>
  <CharactersWithSpaces>28246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2021-04-24T17:36:00Z</dcterms:created>
  <dc:creator>marilyn</dc:creator>
  <cp:lastModifiedBy>蔡中奇</cp:lastModifiedBy>
  <dcterms:modified xsi:type="dcterms:W3CDTF">2022-12-15T01:42:31Z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EE6849E5C22046DF84659940E908ED66</vt:lpwstr>
  </property>
</Properties>
</file>