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300" w:lineRule="auto"/>
        <w:ind w:firstLine="422" w:firstLineChars="96"/>
        <w:jc w:val="center"/>
        <w:rPr>
          <w:rFonts w:hint="eastAsia" w:ascii="方正舒体" w:hAnsi="宋体" w:eastAsia="方正舒体" w:cs="宋体"/>
          <w:kern w:val="0"/>
          <w:sz w:val="44"/>
          <w:szCs w:val="44"/>
        </w:rPr>
      </w:pPr>
    </w:p>
    <w:p>
      <w:pPr>
        <w:spacing w:before="100" w:beforeAutospacing="1" w:after="100" w:afterAutospacing="1" w:line="300" w:lineRule="auto"/>
        <w:ind w:firstLine="422" w:firstLineChars="96"/>
        <w:jc w:val="center"/>
        <w:rPr>
          <w:rFonts w:ascii="方正舒体" w:hAnsi="宋体" w:eastAsia="方正舒体" w:cs="宋体"/>
          <w:kern w:val="0"/>
          <w:sz w:val="44"/>
          <w:szCs w:val="44"/>
        </w:rPr>
      </w:pPr>
    </w:p>
    <w:p>
      <w:pPr>
        <w:spacing w:before="100" w:beforeAutospacing="1" w:after="100" w:afterAutospacing="1" w:line="300" w:lineRule="auto"/>
        <w:ind w:firstLine="422" w:firstLineChars="96"/>
        <w:jc w:val="center"/>
        <w:rPr>
          <w:rFonts w:ascii="方正舒体" w:hAnsi="宋体" w:eastAsia="方正舒体" w:cs="宋体"/>
          <w:kern w:val="0"/>
          <w:sz w:val="44"/>
          <w:szCs w:val="44"/>
        </w:rPr>
      </w:pPr>
      <w:r>
        <w:rPr>
          <w:rFonts w:hint="eastAsia" w:ascii="方正舒体" w:hAnsi="宋体" w:eastAsia="方正舒体" w:cs="宋体"/>
          <w:kern w:val="0"/>
          <w:sz w:val="44"/>
          <w:szCs w:val="44"/>
        </w:rPr>
        <w:t>上海电子信息职业技术学院</w:t>
      </w:r>
    </w:p>
    <w:p>
      <w:pPr>
        <w:spacing w:before="100" w:beforeAutospacing="1" w:after="100" w:afterAutospacing="1" w:line="300" w:lineRule="auto"/>
        <w:ind w:firstLine="694" w:firstLineChars="96"/>
        <w:jc w:val="center"/>
        <w:rPr>
          <w:rFonts w:ascii="黑体" w:hAnsi="宋体" w:eastAsia="黑体" w:cs="宋体"/>
          <w:b/>
          <w:kern w:val="0"/>
          <w:sz w:val="72"/>
          <w:szCs w:val="72"/>
        </w:rPr>
      </w:pPr>
      <w:r>
        <w:rPr>
          <w:rFonts w:hint="eastAsia" w:ascii="黑体" w:hAnsi="宋体" w:eastAsia="黑体" w:cs="宋体"/>
          <w:b/>
          <w:kern w:val="0"/>
          <w:sz w:val="72"/>
          <w:szCs w:val="72"/>
        </w:rPr>
        <w:t>人才培养方案</w:t>
      </w:r>
    </w:p>
    <w:p>
      <w:pPr>
        <w:spacing w:line="300" w:lineRule="auto"/>
        <w:ind w:firstLine="463" w:firstLineChars="96"/>
        <w:jc w:val="center"/>
        <w:rPr>
          <w:rFonts w:ascii="黑体" w:hAnsi="Arial Black" w:eastAsia="黑体" w:cs="宋体"/>
          <w:b/>
          <w:kern w:val="0"/>
          <w:sz w:val="48"/>
          <w:szCs w:val="48"/>
        </w:rPr>
      </w:pPr>
      <w:r>
        <w:rPr>
          <w:rFonts w:hint="eastAsia" w:ascii="黑体" w:hAnsi="Arial Black" w:eastAsia="黑体" w:cs="宋体"/>
          <w:b/>
          <w:kern w:val="0"/>
          <w:sz w:val="48"/>
          <w:szCs w:val="48"/>
        </w:rPr>
        <w:t>2022级适用</w:t>
      </w:r>
    </w:p>
    <w:p>
      <w:pPr>
        <w:spacing w:line="300" w:lineRule="auto"/>
        <w:ind w:firstLine="463" w:firstLineChars="96"/>
        <w:jc w:val="center"/>
        <w:rPr>
          <w:rFonts w:ascii="黑体" w:hAnsi="Arial Black" w:eastAsia="黑体" w:cs="宋体"/>
          <w:b/>
          <w:kern w:val="0"/>
          <w:sz w:val="48"/>
          <w:szCs w:val="48"/>
        </w:rPr>
      </w:pPr>
    </w:p>
    <w:p>
      <w:pPr>
        <w:spacing w:line="300" w:lineRule="auto"/>
        <w:rPr>
          <w:rFonts w:ascii="黑体" w:hAnsi="Arial Black" w:eastAsia="黑体" w:cs="宋体"/>
          <w:b/>
          <w:kern w:val="0"/>
          <w:sz w:val="48"/>
          <w:szCs w:val="48"/>
        </w:rPr>
      </w:pPr>
      <w:r>
        <w:rPr>
          <w:rFonts w:hint="eastAsia" w:ascii="黑体" w:hAnsi="Arial Black" w:eastAsia="黑体" w:cs="宋体"/>
          <w:b/>
          <w:kern w:val="0"/>
          <w:sz w:val="48"/>
          <w:szCs w:val="48"/>
        </w:rPr>
        <w:t>机电一体化技术(中德合作)专业技术员</w:t>
      </w:r>
    </w:p>
    <w:p>
      <w:pPr>
        <w:spacing w:line="300" w:lineRule="auto"/>
        <w:ind w:firstLine="463" w:firstLineChars="96"/>
        <w:jc w:val="center"/>
        <w:rPr>
          <w:rFonts w:ascii="黑体" w:hAnsi="Arial Black" w:eastAsia="黑体" w:cs="宋体"/>
          <w:b/>
          <w:kern w:val="0"/>
          <w:sz w:val="48"/>
          <w:szCs w:val="48"/>
        </w:rPr>
      </w:pPr>
    </w:p>
    <w:p>
      <w:pPr>
        <w:spacing w:line="300" w:lineRule="auto"/>
        <w:ind w:firstLine="463" w:firstLineChars="96"/>
        <w:jc w:val="center"/>
        <w:rPr>
          <w:rFonts w:ascii="黑体" w:hAnsi="Arial Black" w:eastAsia="黑体" w:cs="宋体"/>
          <w:b/>
          <w:kern w:val="0"/>
          <w:sz w:val="48"/>
          <w:szCs w:val="48"/>
        </w:rPr>
      </w:pPr>
    </w:p>
    <w:p>
      <w:pPr>
        <w:spacing w:line="300" w:lineRule="auto"/>
        <w:ind w:firstLine="463" w:firstLineChars="96"/>
        <w:jc w:val="center"/>
        <w:rPr>
          <w:rFonts w:ascii="黑体" w:hAnsi="Arial Black" w:eastAsia="黑体" w:cs="宋体"/>
          <w:b/>
          <w:kern w:val="0"/>
          <w:sz w:val="48"/>
          <w:szCs w:val="48"/>
        </w:rPr>
      </w:pPr>
      <w:r>
        <w:rPr>
          <w:rFonts w:hint="eastAsia" w:ascii="黑体" w:hAnsi="Arial Black" w:eastAsia="黑体" w:cs="宋体"/>
          <w:b/>
          <w:kern w:val="0"/>
          <w:sz w:val="48"/>
          <w:szCs w:val="48"/>
        </w:rPr>
        <w:t>中德工程学院</w:t>
      </w:r>
    </w:p>
    <w:p>
      <w:pPr>
        <w:spacing w:line="400" w:lineRule="exact"/>
        <w:ind w:firstLine="562" w:firstLineChars="200"/>
        <w:jc w:val="center"/>
        <w:rPr>
          <w:rFonts w:ascii="宋体" w:hAnsi="宋体" w:eastAsia="宋体" w:cs="宋体"/>
          <w:b/>
          <w:kern w:val="0"/>
          <w:sz w:val="28"/>
          <w:szCs w:val="28"/>
        </w:rPr>
      </w:pPr>
    </w:p>
    <w:p>
      <w:pPr>
        <w:spacing w:line="400" w:lineRule="exact"/>
        <w:ind w:firstLine="562" w:firstLineChars="200"/>
        <w:jc w:val="center"/>
        <w:rPr>
          <w:rFonts w:ascii="宋体" w:hAnsi="宋体" w:eastAsia="宋体" w:cs="宋体"/>
          <w:b/>
          <w:kern w:val="0"/>
          <w:sz w:val="28"/>
          <w:szCs w:val="28"/>
        </w:rPr>
      </w:pPr>
    </w:p>
    <w:p>
      <w:pPr>
        <w:spacing w:line="400" w:lineRule="exact"/>
        <w:ind w:firstLine="562" w:firstLineChars="200"/>
        <w:jc w:val="center"/>
        <w:rPr>
          <w:rFonts w:ascii="宋体" w:hAnsi="宋体" w:eastAsia="宋体" w:cs="宋体"/>
          <w:b/>
          <w:kern w:val="0"/>
          <w:sz w:val="28"/>
          <w:szCs w:val="28"/>
        </w:rPr>
      </w:pPr>
    </w:p>
    <w:p>
      <w:pPr>
        <w:spacing w:line="400" w:lineRule="exact"/>
        <w:ind w:firstLine="562" w:firstLineChars="200"/>
        <w:jc w:val="center"/>
        <w:rPr>
          <w:rFonts w:ascii="宋体" w:hAnsi="宋体" w:eastAsia="宋体" w:cs="宋体"/>
          <w:b/>
          <w:kern w:val="0"/>
          <w:sz w:val="28"/>
          <w:szCs w:val="28"/>
        </w:rPr>
      </w:pPr>
    </w:p>
    <w:p>
      <w:pPr>
        <w:spacing w:line="400" w:lineRule="exact"/>
        <w:ind w:firstLine="562" w:firstLineChars="200"/>
        <w:jc w:val="center"/>
        <w:rPr>
          <w:rFonts w:ascii="宋体" w:hAnsi="宋体" w:eastAsia="宋体" w:cs="宋体"/>
          <w:b/>
          <w:kern w:val="0"/>
          <w:sz w:val="28"/>
          <w:szCs w:val="28"/>
        </w:rPr>
      </w:pPr>
    </w:p>
    <w:p>
      <w:pPr>
        <w:spacing w:line="400" w:lineRule="exact"/>
        <w:ind w:firstLine="562" w:firstLineChars="200"/>
        <w:jc w:val="center"/>
        <w:rPr>
          <w:rFonts w:ascii="宋体" w:hAnsi="宋体" w:eastAsia="宋体" w:cs="宋体"/>
          <w:b/>
          <w:kern w:val="0"/>
          <w:sz w:val="28"/>
          <w:szCs w:val="28"/>
        </w:rPr>
      </w:pPr>
    </w:p>
    <w:p>
      <w:pPr>
        <w:spacing w:line="400" w:lineRule="exact"/>
        <w:ind w:firstLine="562" w:firstLineChars="200"/>
        <w:jc w:val="center"/>
        <w:rPr>
          <w:rFonts w:ascii="宋体" w:hAnsi="宋体" w:eastAsia="宋体" w:cs="宋体"/>
          <w:b/>
          <w:kern w:val="0"/>
          <w:sz w:val="28"/>
          <w:szCs w:val="28"/>
        </w:rPr>
      </w:pPr>
    </w:p>
    <w:p>
      <w:pPr>
        <w:spacing w:line="300" w:lineRule="auto"/>
        <w:ind w:firstLine="560" w:firstLineChars="200"/>
        <w:jc w:val="center"/>
        <w:rPr>
          <w:rFonts w:ascii="宋体" w:hAnsi="宋体" w:eastAsia="宋体" w:cs="宋体"/>
          <w:sz w:val="28"/>
          <w:szCs w:val="28"/>
        </w:rPr>
      </w:pPr>
      <w:r>
        <w:rPr>
          <w:rFonts w:hint="eastAsia" w:ascii="宋体" w:hAnsi="宋体" w:eastAsia="宋体" w:cs="宋体"/>
          <w:sz w:val="28"/>
          <w:szCs w:val="28"/>
        </w:rPr>
        <w:t>教务处编</w:t>
      </w:r>
    </w:p>
    <w:p>
      <w:pPr>
        <w:spacing w:line="300" w:lineRule="auto"/>
        <w:ind w:firstLine="560" w:firstLineChars="200"/>
        <w:jc w:val="center"/>
        <w:rPr>
          <w:rFonts w:ascii="宋体" w:hAnsi="宋体" w:eastAsia="宋体" w:cs="宋体"/>
          <w:sz w:val="28"/>
          <w:szCs w:val="28"/>
        </w:rPr>
      </w:pPr>
      <w:r>
        <w:rPr>
          <w:rFonts w:hint="eastAsia" w:ascii="宋体" w:hAnsi="宋体" w:eastAsia="宋体" w:cs="宋体"/>
          <w:sz w:val="28"/>
          <w:szCs w:val="28"/>
        </w:rPr>
        <w:t>2022年6月</w:t>
      </w:r>
    </w:p>
    <w:p>
      <w:pPr>
        <w:spacing w:line="300" w:lineRule="auto"/>
        <w:ind w:firstLine="560" w:firstLineChars="200"/>
        <w:jc w:val="center"/>
        <w:rPr>
          <w:rFonts w:ascii="宋体" w:hAnsi="宋体" w:eastAsia="宋体" w:cs="宋体"/>
          <w:sz w:val="28"/>
          <w:szCs w:val="28"/>
        </w:rPr>
      </w:pPr>
    </w:p>
    <w:p/>
    <w:p/>
    <w:p/>
    <w:p/>
    <w:p/>
    <w:sdt>
      <w:sdtPr>
        <w:rPr>
          <w:lang w:val="zh-CN"/>
        </w:rPr>
        <w:id w:val="107942365"/>
      </w:sdtPr>
      <w:sdtEndPr>
        <w:rPr>
          <w:lang w:val="zh-CN"/>
        </w:rPr>
      </w:sdtEndPr>
      <w:sdtContent>
        <w:p>
          <w:pPr>
            <w:keepNext/>
            <w:keepLines/>
            <w:widowControl/>
            <w:spacing w:before="480" w:line="360" w:lineRule="auto"/>
            <w:jc w:val="center"/>
            <w:rPr>
              <w:rFonts w:ascii="黑体" w:hAnsi="黑体" w:eastAsia="黑体" w:cstheme="majorBidi"/>
              <w:b/>
              <w:bCs/>
              <w:color w:val="000000" w:themeColor="text1"/>
              <w:kern w:val="0"/>
              <w:sz w:val="28"/>
              <w:szCs w:val="28"/>
              <w14:textFill>
                <w14:solidFill>
                  <w14:schemeClr w14:val="tx1"/>
                </w14:solidFill>
              </w14:textFill>
            </w:rPr>
          </w:pPr>
          <w:r>
            <w:rPr>
              <w:rFonts w:ascii="黑体" w:hAnsi="黑体" w:eastAsia="黑体" w:cstheme="majorBidi"/>
              <w:b/>
              <w:bCs/>
              <w:color w:val="000000" w:themeColor="text1"/>
              <w:kern w:val="0"/>
              <w:sz w:val="28"/>
              <w:szCs w:val="28"/>
              <w:lang w:val="zh-CN"/>
              <w14:textFill>
                <w14:solidFill>
                  <w14:schemeClr w14:val="tx1"/>
                </w14:solidFill>
              </w14:textFill>
            </w:rPr>
            <w:t>目</w:t>
          </w:r>
          <w:r>
            <w:rPr>
              <w:rFonts w:hint="eastAsia" w:ascii="黑体" w:hAnsi="黑体" w:eastAsia="黑体" w:cstheme="majorBidi"/>
              <w:b/>
              <w:bCs/>
              <w:color w:val="000000" w:themeColor="text1"/>
              <w:kern w:val="0"/>
              <w:sz w:val="28"/>
              <w:szCs w:val="28"/>
              <w:lang w:val="zh-CN"/>
              <w14:textFill>
                <w14:solidFill>
                  <w14:schemeClr w14:val="tx1"/>
                </w14:solidFill>
              </w14:textFill>
            </w:rPr>
            <w:t xml:space="preserve">        </w:t>
          </w:r>
          <w:r>
            <w:rPr>
              <w:rFonts w:ascii="黑体" w:hAnsi="黑体" w:eastAsia="黑体" w:cstheme="majorBidi"/>
              <w:b/>
              <w:bCs/>
              <w:color w:val="000000" w:themeColor="text1"/>
              <w:kern w:val="0"/>
              <w:sz w:val="28"/>
              <w:szCs w:val="28"/>
              <w:lang w:val="zh-CN"/>
              <w14:textFill>
                <w14:solidFill>
                  <w14:schemeClr w14:val="tx1"/>
                </w14:solidFill>
              </w14:textFill>
            </w:rPr>
            <w:t>录</w:t>
          </w:r>
        </w:p>
        <w:p>
          <w:pPr>
            <w:pStyle w:val="11"/>
            <w:tabs>
              <w:tab w:val="right" w:leader="dot" w:pos="8296"/>
            </w:tabs>
            <w:spacing w:line="360" w:lineRule="auto"/>
            <w:ind w:left="0" w:leftChars="0"/>
            <w:rPr>
              <w:sz w:val="24"/>
              <w:szCs w:val="24"/>
            </w:rPr>
          </w:pPr>
          <w:r>
            <w:rPr>
              <w:sz w:val="24"/>
              <w:szCs w:val="24"/>
            </w:rPr>
            <w:fldChar w:fldCharType="begin"/>
          </w:r>
          <w:r>
            <w:rPr>
              <w:sz w:val="24"/>
              <w:szCs w:val="24"/>
            </w:rPr>
            <w:instrText xml:space="preserve"> TOC \o "1-3" \h \z \u </w:instrText>
          </w:r>
          <w:r>
            <w:rPr>
              <w:sz w:val="24"/>
              <w:szCs w:val="24"/>
            </w:rPr>
            <w:fldChar w:fldCharType="separate"/>
          </w:r>
          <w:r>
            <w:fldChar w:fldCharType="begin"/>
          </w:r>
          <w:r>
            <w:instrText xml:space="preserve"> HYPERLINK \l "_Toc105704406" </w:instrText>
          </w:r>
          <w:r>
            <w:fldChar w:fldCharType="separate"/>
          </w:r>
          <w:r>
            <w:rPr>
              <w:rStyle w:val="15"/>
              <w:rFonts w:hint="eastAsia" w:ascii="Arial" w:hAnsi="Arial" w:eastAsia="黑体" w:cs="Times New Roman"/>
              <w:b/>
              <w:sz w:val="24"/>
              <w:szCs w:val="24"/>
            </w:rPr>
            <w:t>一、专业名称（专业代码）</w:t>
          </w:r>
          <w:r>
            <w:rPr>
              <w:sz w:val="24"/>
              <w:szCs w:val="24"/>
            </w:rPr>
            <w:tab/>
          </w:r>
          <w:r>
            <w:rPr>
              <w:sz w:val="24"/>
              <w:szCs w:val="24"/>
            </w:rPr>
            <w:fldChar w:fldCharType="begin"/>
          </w:r>
          <w:r>
            <w:rPr>
              <w:sz w:val="24"/>
              <w:szCs w:val="24"/>
            </w:rPr>
            <w:instrText xml:space="preserve"> PAGEREF _Toc105704406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1"/>
            <w:tabs>
              <w:tab w:val="right" w:leader="dot" w:pos="8296"/>
            </w:tabs>
            <w:spacing w:line="360" w:lineRule="auto"/>
            <w:ind w:left="0" w:leftChars="0"/>
            <w:rPr>
              <w:sz w:val="24"/>
              <w:szCs w:val="24"/>
            </w:rPr>
          </w:pPr>
          <w:r>
            <w:fldChar w:fldCharType="begin"/>
          </w:r>
          <w:r>
            <w:instrText xml:space="preserve"> HYPERLINK \l "_Toc105704407" </w:instrText>
          </w:r>
          <w:r>
            <w:fldChar w:fldCharType="separate"/>
          </w:r>
          <w:r>
            <w:rPr>
              <w:rStyle w:val="15"/>
              <w:rFonts w:hint="eastAsia" w:ascii="Arial" w:hAnsi="Arial" w:eastAsia="黑体" w:cs="Times New Roman"/>
              <w:b/>
              <w:sz w:val="24"/>
              <w:szCs w:val="24"/>
            </w:rPr>
            <w:t>二、入学要求</w:t>
          </w:r>
          <w:r>
            <w:rPr>
              <w:sz w:val="24"/>
              <w:szCs w:val="24"/>
            </w:rPr>
            <w:tab/>
          </w:r>
          <w:r>
            <w:rPr>
              <w:sz w:val="24"/>
              <w:szCs w:val="24"/>
            </w:rPr>
            <w:fldChar w:fldCharType="begin"/>
          </w:r>
          <w:r>
            <w:rPr>
              <w:sz w:val="24"/>
              <w:szCs w:val="24"/>
            </w:rPr>
            <w:instrText xml:space="preserve"> PAGEREF _Toc105704407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1"/>
            <w:tabs>
              <w:tab w:val="right" w:leader="dot" w:pos="8296"/>
            </w:tabs>
            <w:spacing w:line="360" w:lineRule="auto"/>
            <w:ind w:left="0" w:leftChars="0"/>
            <w:rPr>
              <w:sz w:val="24"/>
              <w:szCs w:val="24"/>
            </w:rPr>
          </w:pPr>
          <w:r>
            <w:fldChar w:fldCharType="begin"/>
          </w:r>
          <w:r>
            <w:instrText xml:space="preserve"> HYPERLINK \l "_Toc105704408" </w:instrText>
          </w:r>
          <w:r>
            <w:fldChar w:fldCharType="separate"/>
          </w:r>
          <w:r>
            <w:rPr>
              <w:rStyle w:val="15"/>
              <w:rFonts w:hint="eastAsia" w:ascii="Arial" w:hAnsi="Arial" w:eastAsia="黑体" w:cs="Times New Roman"/>
              <w:b/>
              <w:sz w:val="24"/>
              <w:szCs w:val="24"/>
            </w:rPr>
            <w:t>三、修业年限</w:t>
          </w:r>
          <w:r>
            <w:rPr>
              <w:sz w:val="24"/>
              <w:szCs w:val="24"/>
            </w:rPr>
            <w:tab/>
          </w:r>
          <w:r>
            <w:rPr>
              <w:sz w:val="24"/>
              <w:szCs w:val="24"/>
            </w:rPr>
            <w:fldChar w:fldCharType="begin"/>
          </w:r>
          <w:r>
            <w:rPr>
              <w:sz w:val="24"/>
              <w:szCs w:val="24"/>
            </w:rPr>
            <w:instrText xml:space="preserve"> PAGEREF _Toc105704408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1"/>
            <w:tabs>
              <w:tab w:val="right" w:leader="dot" w:pos="8296"/>
            </w:tabs>
            <w:spacing w:line="360" w:lineRule="auto"/>
            <w:ind w:left="0" w:leftChars="0"/>
            <w:rPr>
              <w:sz w:val="24"/>
              <w:szCs w:val="24"/>
            </w:rPr>
          </w:pPr>
          <w:r>
            <w:fldChar w:fldCharType="begin"/>
          </w:r>
          <w:r>
            <w:instrText xml:space="preserve"> HYPERLINK \l "_Toc105704409" </w:instrText>
          </w:r>
          <w:r>
            <w:fldChar w:fldCharType="separate"/>
          </w:r>
          <w:r>
            <w:rPr>
              <w:rStyle w:val="15"/>
              <w:rFonts w:hint="eastAsia" w:ascii="Arial" w:hAnsi="Arial" w:eastAsia="黑体" w:cs="Times New Roman"/>
              <w:b/>
              <w:sz w:val="24"/>
              <w:szCs w:val="24"/>
            </w:rPr>
            <w:t>四、职业面向</w:t>
          </w:r>
          <w:r>
            <w:rPr>
              <w:sz w:val="24"/>
              <w:szCs w:val="24"/>
            </w:rPr>
            <w:tab/>
          </w:r>
          <w:r>
            <w:rPr>
              <w:sz w:val="24"/>
              <w:szCs w:val="24"/>
            </w:rPr>
            <w:fldChar w:fldCharType="begin"/>
          </w:r>
          <w:r>
            <w:rPr>
              <w:sz w:val="24"/>
              <w:szCs w:val="24"/>
            </w:rPr>
            <w:instrText xml:space="preserve"> PAGEREF _Toc105704409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1"/>
            <w:tabs>
              <w:tab w:val="right" w:leader="dot" w:pos="8296"/>
            </w:tabs>
            <w:spacing w:line="360" w:lineRule="auto"/>
            <w:ind w:left="0" w:leftChars="0"/>
            <w:rPr>
              <w:sz w:val="24"/>
              <w:szCs w:val="24"/>
            </w:rPr>
          </w:pPr>
          <w:r>
            <w:fldChar w:fldCharType="begin"/>
          </w:r>
          <w:r>
            <w:instrText xml:space="preserve"> HYPERLINK \l "_Toc105704410" </w:instrText>
          </w:r>
          <w:r>
            <w:fldChar w:fldCharType="separate"/>
          </w:r>
          <w:r>
            <w:rPr>
              <w:rStyle w:val="15"/>
              <w:rFonts w:hint="eastAsia" w:ascii="Arial" w:hAnsi="Arial" w:eastAsia="黑体" w:cs="Times New Roman"/>
              <w:b/>
              <w:sz w:val="24"/>
              <w:szCs w:val="24"/>
            </w:rPr>
            <w:t>五、培养目标与培养规格</w:t>
          </w:r>
          <w:r>
            <w:rPr>
              <w:sz w:val="24"/>
              <w:szCs w:val="24"/>
            </w:rPr>
            <w:tab/>
          </w:r>
          <w:r>
            <w:rPr>
              <w:sz w:val="24"/>
              <w:szCs w:val="24"/>
            </w:rPr>
            <w:fldChar w:fldCharType="begin"/>
          </w:r>
          <w:r>
            <w:rPr>
              <w:sz w:val="24"/>
              <w:szCs w:val="24"/>
            </w:rPr>
            <w:instrText xml:space="preserve"> PAGEREF _Toc105704410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0"/>
            <w:tabs>
              <w:tab w:val="right" w:leader="dot" w:pos="8296"/>
            </w:tabs>
            <w:spacing w:line="360" w:lineRule="auto"/>
            <w:rPr>
              <w:sz w:val="24"/>
              <w:szCs w:val="24"/>
            </w:rPr>
          </w:pPr>
          <w:r>
            <w:fldChar w:fldCharType="begin"/>
          </w:r>
          <w:r>
            <w:instrText xml:space="preserve"> HYPERLINK \l "_Toc105704411" </w:instrText>
          </w:r>
          <w:r>
            <w:fldChar w:fldCharType="separate"/>
          </w:r>
          <w:r>
            <w:rPr>
              <w:rStyle w:val="15"/>
              <w:rFonts w:hint="eastAsia" w:ascii="宋体" w:hAnsi="宋体" w:eastAsia="宋体" w:cs="Times New Roman"/>
              <w:b/>
              <w:sz w:val="24"/>
              <w:szCs w:val="24"/>
            </w:rPr>
            <w:t>（一）培养目标</w:t>
          </w:r>
          <w:r>
            <w:rPr>
              <w:sz w:val="24"/>
              <w:szCs w:val="24"/>
            </w:rPr>
            <w:tab/>
          </w:r>
          <w:r>
            <w:rPr>
              <w:sz w:val="24"/>
              <w:szCs w:val="24"/>
            </w:rPr>
            <w:fldChar w:fldCharType="begin"/>
          </w:r>
          <w:r>
            <w:rPr>
              <w:sz w:val="24"/>
              <w:szCs w:val="24"/>
            </w:rPr>
            <w:instrText xml:space="preserve"> PAGEREF _Toc105704411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0"/>
            <w:tabs>
              <w:tab w:val="right" w:leader="dot" w:pos="8296"/>
            </w:tabs>
            <w:spacing w:line="360" w:lineRule="auto"/>
            <w:rPr>
              <w:sz w:val="24"/>
              <w:szCs w:val="24"/>
            </w:rPr>
          </w:pPr>
          <w:r>
            <w:fldChar w:fldCharType="begin"/>
          </w:r>
          <w:r>
            <w:instrText xml:space="preserve"> HYPERLINK \l "_Toc105704412" </w:instrText>
          </w:r>
          <w:r>
            <w:fldChar w:fldCharType="separate"/>
          </w:r>
          <w:r>
            <w:rPr>
              <w:rStyle w:val="15"/>
              <w:rFonts w:hint="eastAsia" w:ascii="宋体" w:hAnsi="宋体" w:eastAsia="宋体" w:cs="Times New Roman"/>
              <w:b/>
              <w:sz w:val="24"/>
              <w:szCs w:val="24"/>
            </w:rPr>
            <w:t>（二）培养规格</w:t>
          </w:r>
          <w:r>
            <w:rPr>
              <w:sz w:val="24"/>
              <w:szCs w:val="24"/>
            </w:rPr>
            <w:tab/>
          </w:r>
          <w:r>
            <w:rPr>
              <w:sz w:val="24"/>
              <w:szCs w:val="24"/>
            </w:rPr>
            <w:fldChar w:fldCharType="begin"/>
          </w:r>
          <w:r>
            <w:rPr>
              <w:sz w:val="24"/>
              <w:szCs w:val="24"/>
            </w:rPr>
            <w:instrText xml:space="preserve"> PAGEREF _Toc105704412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11"/>
            <w:tabs>
              <w:tab w:val="right" w:leader="dot" w:pos="8296"/>
            </w:tabs>
            <w:spacing w:line="360" w:lineRule="auto"/>
            <w:ind w:left="0" w:leftChars="0"/>
            <w:rPr>
              <w:sz w:val="24"/>
              <w:szCs w:val="24"/>
            </w:rPr>
          </w:pPr>
          <w:r>
            <w:fldChar w:fldCharType="begin"/>
          </w:r>
          <w:r>
            <w:instrText xml:space="preserve"> HYPERLINK \l "_Toc105704413" </w:instrText>
          </w:r>
          <w:r>
            <w:fldChar w:fldCharType="separate"/>
          </w:r>
          <w:r>
            <w:rPr>
              <w:rStyle w:val="15"/>
              <w:rFonts w:hint="eastAsia" w:ascii="黑体" w:hAnsi="黑体" w:eastAsia="黑体"/>
              <w:b/>
              <w:sz w:val="24"/>
              <w:szCs w:val="24"/>
            </w:rPr>
            <w:t>六、课程设置和要求</w:t>
          </w:r>
          <w:r>
            <w:rPr>
              <w:sz w:val="24"/>
              <w:szCs w:val="24"/>
            </w:rPr>
            <w:tab/>
          </w:r>
          <w:r>
            <w:rPr>
              <w:sz w:val="24"/>
              <w:szCs w:val="24"/>
            </w:rPr>
            <w:fldChar w:fldCharType="begin"/>
          </w:r>
          <w:r>
            <w:rPr>
              <w:sz w:val="24"/>
              <w:szCs w:val="24"/>
            </w:rPr>
            <w:instrText xml:space="preserve"> PAGEREF _Toc105704413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0"/>
            <w:tabs>
              <w:tab w:val="right" w:leader="dot" w:pos="8296"/>
            </w:tabs>
            <w:spacing w:line="360" w:lineRule="auto"/>
            <w:rPr>
              <w:sz w:val="24"/>
              <w:szCs w:val="24"/>
            </w:rPr>
          </w:pPr>
          <w:r>
            <w:fldChar w:fldCharType="begin"/>
          </w:r>
          <w:r>
            <w:instrText xml:space="preserve"> HYPERLINK \l "_Toc105704414" </w:instrText>
          </w:r>
          <w:r>
            <w:fldChar w:fldCharType="separate"/>
          </w:r>
          <w:r>
            <w:rPr>
              <w:rStyle w:val="15"/>
              <w:rFonts w:hint="eastAsia" w:ascii="宋体" w:hAnsi="宋体" w:eastAsia="宋体" w:cs="Times New Roman"/>
              <w:b/>
              <w:sz w:val="24"/>
              <w:szCs w:val="24"/>
            </w:rPr>
            <w:t>（一）公共基础</w:t>
          </w:r>
          <w:r>
            <w:rPr>
              <w:rStyle w:val="15"/>
              <w:rFonts w:hint="eastAsia" w:ascii="宋体" w:hAnsi="宋体" w:eastAsia="宋体" w:cs="Times New Roman"/>
              <w:b/>
              <w:sz w:val="24"/>
              <w:szCs w:val="24"/>
              <w:lang w:eastAsia="zh-Hans"/>
            </w:rPr>
            <w:t>必修</w:t>
          </w:r>
          <w:r>
            <w:rPr>
              <w:sz w:val="24"/>
              <w:szCs w:val="24"/>
            </w:rPr>
            <w:tab/>
          </w:r>
          <w:r>
            <w:rPr>
              <w:sz w:val="24"/>
              <w:szCs w:val="24"/>
            </w:rPr>
            <w:fldChar w:fldCharType="begin"/>
          </w:r>
          <w:r>
            <w:rPr>
              <w:sz w:val="24"/>
              <w:szCs w:val="24"/>
            </w:rPr>
            <w:instrText xml:space="preserve"> PAGEREF _Toc105704414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1"/>
            <w:tabs>
              <w:tab w:val="right" w:leader="dot" w:pos="8296"/>
            </w:tabs>
            <w:spacing w:line="360" w:lineRule="auto"/>
            <w:ind w:left="0" w:leftChars="0"/>
            <w:rPr>
              <w:sz w:val="24"/>
              <w:szCs w:val="24"/>
            </w:rPr>
          </w:pPr>
          <w:r>
            <w:fldChar w:fldCharType="begin"/>
          </w:r>
          <w:r>
            <w:instrText xml:space="preserve"> HYPERLINK \l "_Toc105704415" </w:instrText>
          </w:r>
          <w:r>
            <w:fldChar w:fldCharType="separate"/>
          </w:r>
          <w:r>
            <w:rPr>
              <w:rStyle w:val="15"/>
              <w:rFonts w:hint="eastAsia" w:ascii="Arial" w:hAnsi="Arial" w:eastAsia="黑体" w:cs="Times New Roman"/>
              <w:sz w:val="24"/>
              <w:szCs w:val="24"/>
            </w:rPr>
            <w:t>七、教学进程总体安排</w:t>
          </w:r>
          <w:r>
            <w:rPr>
              <w:sz w:val="24"/>
              <w:szCs w:val="24"/>
            </w:rPr>
            <w:tab/>
          </w:r>
          <w:r>
            <w:rPr>
              <w:sz w:val="24"/>
              <w:szCs w:val="24"/>
            </w:rPr>
            <w:fldChar w:fldCharType="begin"/>
          </w:r>
          <w:r>
            <w:rPr>
              <w:sz w:val="24"/>
              <w:szCs w:val="24"/>
            </w:rPr>
            <w:instrText xml:space="preserve"> PAGEREF _Toc105704415 \h </w:instrText>
          </w:r>
          <w:r>
            <w:rPr>
              <w:sz w:val="24"/>
              <w:szCs w:val="24"/>
            </w:rPr>
            <w:fldChar w:fldCharType="separate"/>
          </w:r>
          <w:r>
            <w:rPr>
              <w:sz w:val="24"/>
              <w:szCs w:val="24"/>
            </w:rPr>
            <w:t>7</w:t>
          </w:r>
          <w:r>
            <w:rPr>
              <w:sz w:val="24"/>
              <w:szCs w:val="24"/>
            </w:rPr>
            <w:fldChar w:fldCharType="end"/>
          </w:r>
          <w:r>
            <w:rPr>
              <w:sz w:val="24"/>
              <w:szCs w:val="24"/>
            </w:rPr>
            <w:fldChar w:fldCharType="end"/>
          </w:r>
        </w:p>
        <w:p>
          <w:pPr>
            <w:pStyle w:val="10"/>
            <w:tabs>
              <w:tab w:val="right" w:leader="dot" w:pos="8296"/>
            </w:tabs>
            <w:spacing w:line="360" w:lineRule="auto"/>
            <w:rPr>
              <w:sz w:val="24"/>
              <w:szCs w:val="24"/>
            </w:rPr>
          </w:pPr>
          <w:r>
            <w:fldChar w:fldCharType="begin"/>
          </w:r>
          <w:r>
            <w:instrText xml:space="preserve"> HYPERLINK \l "_Toc105704416" </w:instrText>
          </w:r>
          <w:r>
            <w:fldChar w:fldCharType="separate"/>
          </w:r>
          <w:r>
            <w:rPr>
              <w:rStyle w:val="15"/>
              <w:rFonts w:hint="eastAsia" w:ascii="宋体" w:hAnsi="宋体" w:eastAsia="宋体" w:cs="Times New Roman"/>
              <w:b/>
              <w:sz w:val="24"/>
              <w:szCs w:val="24"/>
            </w:rPr>
            <w:t>（一）学时安排</w:t>
          </w:r>
          <w:r>
            <w:rPr>
              <w:sz w:val="24"/>
              <w:szCs w:val="24"/>
            </w:rPr>
            <w:tab/>
          </w:r>
          <w:r>
            <w:rPr>
              <w:sz w:val="24"/>
              <w:szCs w:val="24"/>
            </w:rPr>
            <w:fldChar w:fldCharType="begin"/>
          </w:r>
          <w:r>
            <w:rPr>
              <w:sz w:val="24"/>
              <w:szCs w:val="24"/>
            </w:rPr>
            <w:instrText xml:space="preserve"> PAGEREF _Toc105704416 \h </w:instrText>
          </w:r>
          <w:r>
            <w:rPr>
              <w:sz w:val="24"/>
              <w:szCs w:val="24"/>
            </w:rPr>
            <w:fldChar w:fldCharType="separate"/>
          </w:r>
          <w:r>
            <w:rPr>
              <w:sz w:val="24"/>
              <w:szCs w:val="24"/>
            </w:rPr>
            <w:t>8</w:t>
          </w:r>
          <w:r>
            <w:rPr>
              <w:sz w:val="24"/>
              <w:szCs w:val="24"/>
            </w:rPr>
            <w:fldChar w:fldCharType="end"/>
          </w:r>
          <w:r>
            <w:rPr>
              <w:sz w:val="24"/>
              <w:szCs w:val="24"/>
            </w:rPr>
            <w:fldChar w:fldCharType="end"/>
          </w:r>
        </w:p>
        <w:p>
          <w:pPr>
            <w:pStyle w:val="10"/>
            <w:tabs>
              <w:tab w:val="right" w:leader="dot" w:pos="8296"/>
            </w:tabs>
            <w:spacing w:line="360" w:lineRule="auto"/>
            <w:rPr>
              <w:sz w:val="24"/>
              <w:szCs w:val="24"/>
            </w:rPr>
          </w:pPr>
          <w:r>
            <w:fldChar w:fldCharType="begin"/>
          </w:r>
          <w:r>
            <w:instrText xml:space="preserve"> HYPERLINK \l "_Toc105704417" </w:instrText>
          </w:r>
          <w:r>
            <w:fldChar w:fldCharType="separate"/>
          </w:r>
          <w:r>
            <w:rPr>
              <w:rStyle w:val="15"/>
              <w:rFonts w:hint="eastAsia" w:ascii="宋体" w:hAnsi="宋体" w:eastAsia="宋体" w:cs="Times New Roman"/>
              <w:b/>
              <w:sz w:val="24"/>
              <w:szCs w:val="24"/>
            </w:rPr>
            <w:t>（二）教学进程表</w:t>
          </w:r>
          <w:r>
            <w:rPr>
              <w:sz w:val="24"/>
              <w:szCs w:val="24"/>
            </w:rPr>
            <w:tab/>
          </w:r>
          <w:r>
            <w:rPr>
              <w:sz w:val="24"/>
              <w:szCs w:val="24"/>
            </w:rPr>
            <w:fldChar w:fldCharType="begin"/>
          </w:r>
          <w:r>
            <w:rPr>
              <w:sz w:val="24"/>
              <w:szCs w:val="24"/>
            </w:rPr>
            <w:instrText xml:space="preserve"> PAGEREF _Toc105704417 \h </w:instrText>
          </w:r>
          <w:r>
            <w:rPr>
              <w:sz w:val="24"/>
              <w:szCs w:val="24"/>
            </w:rPr>
            <w:fldChar w:fldCharType="separate"/>
          </w:r>
          <w:r>
            <w:rPr>
              <w:sz w:val="24"/>
              <w:szCs w:val="24"/>
            </w:rPr>
            <w:t>8</w:t>
          </w:r>
          <w:r>
            <w:rPr>
              <w:sz w:val="24"/>
              <w:szCs w:val="24"/>
            </w:rPr>
            <w:fldChar w:fldCharType="end"/>
          </w:r>
          <w:r>
            <w:rPr>
              <w:sz w:val="24"/>
              <w:szCs w:val="24"/>
            </w:rPr>
            <w:fldChar w:fldCharType="end"/>
          </w:r>
        </w:p>
        <w:p>
          <w:pPr>
            <w:pStyle w:val="11"/>
            <w:tabs>
              <w:tab w:val="right" w:leader="dot" w:pos="8296"/>
            </w:tabs>
            <w:spacing w:line="360" w:lineRule="auto"/>
            <w:ind w:left="0" w:leftChars="0"/>
            <w:rPr>
              <w:sz w:val="24"/>
              <w:szCs w:val="24"/>
            </w:rPr>
          </w:pPr>
          <w:r>
            <w:fldChar w:fldCharType="begin"/>
          </w:r>
          <w:r>
            <w:instrText xml:space="preserve"> HYPERLINK \l "_Toc105704418" </w:instrText>
          </w:r>
          <w:r>
            <w:fldChar w:fldCharType="separate"/>
          </w:r>
          <w:r>
            <w:rPr>
              <w:rStyle w:val="15"/>
              <w:rFonts w:hint="eastAsia" w:ascii="Arial" w:hAnsi="Arial" w:eastAsia="黑体" w:cs="Times New Roman"/>
              <w:b/>
              <w:sz w:val="24"/>
              <w:szCs w:val="24"/>
            </w:rPr>
            <w:t>八、实施保障</w:t>
          </w:r>
          <w:r>
            <w:rPr>
              <w:sz w:val="24"/>
              <w:szCs w:val="24"/>
            </w:rPr>
            <w:tab/>
          </w:r>
          <w:r>
            <w:rPr>
              <w:sz w:val="24"/>
              <w:szCs w:val="24"/>
            </w:rPr>
            <w:fldChar w:fldCharType="begin"/>
          </w:r>
          <w:r>
            <w:rPr>
              <w:sz w:val="24"/>
              <w:szCs w:val="24"/>
            </w:rPr>
            <w:instrText xml:space="preserve"> PAGEREF _Toc105704418 \h </w:instrText>
          </w:r>
          <w:r>
            <w:rPr>
              <w:sz w:val="24"/>
              <w:szCs w:val="24"/>
            </w:rPr>
            <w:fldChar w:fldCharType="separate"/>
          </w:r>
          <w:r>
            <w:rPr>
              <w:sz w:val="24"/>
              <w:szCs w:val="24"/>
            </w:rPr>
            <w:t>10</w:t>
          </w:r>
          <w:r>
            <w:rPr>
              <w:sz w:val="24"/>
              <w:szCs w:val="24"/>
            </w:rPr>
            <w:fldChar w:fldCharType="end"/>
          </w:r>
          <w:r>
            <w:rPr>
              <w:sz w:val="24"/>
              <w:szCs w:val="24"/>
            </w:rPr>
            <w:fldChar w:fldCharType="end"/>
          </w:r>
        </w:p>
        <w:p>
          <w:pPr>
            <w:pStyle w:val="11"/>
            <w:tabs>
              <w:tab w:val="right" w:leader="dot" w:pos="8296"/>
            </w:tabs>
            <w:spacing w:line="360" w:lineRule="auto"/>
            <w:ind w:left="0" w:leftChars="0"/>
            <w:rPr>
              <w:sz w:val="24"/>
              <w:szCs w:val="24"/>
            </w:rPr>
          </w:pPr>
          <w:r>
            <w:fldChar w:fldCharType="begin"/>
          </w:r>
          <w:r>
            <w:instrText xml:space="preserve"> HYPERLINK \l "_Toc105704419" </w:instrText>
          </w:r>
          <w:r>
            <w:fldChar w:fldCharType="separate"/>
          </w:r>
          <w:r>
            <w:rPr>
              <w:rStyle w:val="15"/>
              <w:rFonts w:hint="eastAsia" w:ascii="Arial" w:hAnsi="Arial" w:eastAsia="黑体" w:cs="Times New Roman"/>
              <w:b/>
              <w:sz w:val="24"/>
              <w:szCs w:val="24"/>
            </w:rPr>
            <w:t>九、毕业要求</w:t>
          </w:r>
          <w:r>
            <w:rPr>
              <w:sz w:val="24"/>
              <w:szCs w:val="24"/>
            </w:rPr>
            <w:tab/>
          </w:r>
          <w:r>
            <w:rPr>
              <w:sz w:val="24"/>
              <w:szCs w:val="24"/>
            </w:rPr>
            <w:fldChar w:fldCharType="begin"/>
          </w:r>
          <w:r>
            <w:rPr>
              <w:sz w:val="24"/>
              <w:szCs w:val="24"/>
            </w:rPr>
            <w:instrText xml:space="preserve"> PAGEREF _Toc105704419 \h </w:instrText>
          </w:r>
          <w:r>
            <w:rPr>
              <w:sz w:val="24"/>
              <w:szCs w:val="24"/>
            </w:rPr>
            <w:fldChar w:fldCharType="separate"/>
          </w:r>
          <w:r>
            <w:rPr>
              <w:sz w:val="24"/>
              <w:szCs w:val="24"/>
            </w:rPr>
            <w:t>15</w:t>
          </w:r>
          <w:r>
            <w:rPr>
              <w:sz w:val="24"/>
              <w:szCs w:val="24"/>
            </w:rPr>
            <w:fldChar w:fldCharType="end"/>
          </w:r>
          <w:r>
            <w:rPr>
              <w:sz w:val="24"/>
              <w:szCs w:val="24"/>
            </w:rPr>
            <w:fldChar w:fldCharType="end"/>
          </w:r>
        </w:p>
        <w:p>
          <w:pPr>
            <w:spacing w:line="360" w:lineRule="auto"/>
          </w:pPr>
          <w:r>
            <w:rPr>
              <w:bCs/>
              <w:szCs w:val="24"/>
              <w:lang w:val="zh-CN"/>
            </w:rPr>
            <w:fldChar w:fldCharType="end"/>
          </w:r>
        </w:p>
      </w:sdtContent>
    </w:sdt>
    <w:p>
      <w:pPr>
        <w:spacing w:line="300" w:lineRule="auto"/>
        <w:ind w:firstLine="560" w:firstLineChars="200"/>
        <w:jc w:val="center"/>
        <w:rPr>
          <w:rFonts w:ascii="宋体" w:hAnsi="宋体" w:eastAsia="宋体" w:cs="宋体"/>
          <w:sz w:val="28"/>
          <w:szCs w:val="28"/>
        </w:rPr>
      </w:pPr>
    </w:p>
    <w:p>
      <w:pPr>
        <w:spacing w:line="300" w:lineRule="auto"/>
        <w:rPr>
          <w:rFonts w:ascii="宋体" w:hAnsi="宋体" w:eastAsia="宋体" w:cs="宋体"/>
          <w:sz w:val="28"/>
          <w:szCs w:val="28"/>
        </w:rPr>
        <w:sectPr>
          <w:footerReference r:id="rId3" w:type="default"/>
          <w:pgSz w:w="11906" w:h="16838"/>
          <w:pgMar w:top="1440" w:right="1800" w:bottom="1440" w:left="1800" w:header="851" w:footer="992" w:gutter="0"/>
          <w:cols w:space="425" w:num="1"/>
          <w:docGrid w:type="lines" w:linePitch="312" w:charSpace="0"/>
        </w:sectPr>
      </w:pPr>
    </w:p>
    <w:p>
      <w:pPr>
        <w:keepNext/>
        <w:keepLines/>
        <w:spacing w:before="156" w:beforeLines="50" w:after="156" w:afterLines="50" w:line="300" w:lineRule="auto"/>
        <w:outlineLvl w:val="1"/>
        <w:rPr>
          <w:rFonts w:ascii="Arial" w:hAnsi="Arial" w:eastAsia="黑体" w:cs="Times New Roman"/>
          <w:b/>
          <w:color w:val="000000"/>
          <w:sz w:val="24"/>
          <w:szCs w:val="28"/>
        </w:rPr>
      </w:pPr>
      <w:bookmarkStart w:id="0" w:name="_Toc105704406"/>
      <w:r>
        <w:rPr>
          <w:rFonts w:ascii="Arial" w:hAnsi="Arial" w:eastAsia="黑体" w:cs="Times New Roman"/>
          <w:b/>
          <w:color w:val="000000"/>
          <w:sz w:val="24"/>
          <w:szCs w:val="28"/>
        </w:rPr>
        <w:t>一、专业名称</w:t>
      </w:r>
      <w:r>
        <w:rPr>
          <w:rFonts w:hint="eastAsia" w:ascii="Arial" w:hAnsi="Arial" w:eastAsia="黑体" w:cs="Times New Roman"/>
          <w:b/>
          <w:color w:val="000000"/>
          <w:sz w:val="24"/>
          <w:szCs w:val="28"/>
        </w:rPr>
        <w:t>（专业</w:t>
      </w:r>
      <w:r>
        <w:rPr>
          <w:rFonts w:ascii="Arial" w:hAnsi="Arial" w:eastAsia="黑体" w:cs="Times New Roman"/>
          <w:b/>
          <w:color w:val="000000"/>
          <w:sz w:val="24"/>
          <w:szCs w:val="28"/>
        </w:rPr>
        <w:t>代码</w:t>
      </w:r>
      <w:r>
        <w:rPr>
          <w:rFonts w:hint="eastAsia" w:ascii="Arial" w:hAnsi="Arial" w:eastAsia="黑体" w:cs="Times New Roman"/>
          <w:b/>
          <w:color w:val="000000"/>
          <w:sz w:val="24"/>
          <w:szCs w:val="28"/>
        </w:rPr>
        <w:t>）</w:t>
      </w:r>
      <w:bookmarkEnd w:id="0"/>
    </w:p>
    <w:p>
      <w:pPr>
        <w:overflowPunct w:val="0"/>
        <w:adjustRightInd w:val="0"/>
        <w:ind w:firstLine="420" w:firstLineChars="200"/>
        <w:rPr>
          <w:rFonts w:ascii="宋体" w:hAnsi="宋体" w:eastAsia="宋体" w:cs="Times New Roman"/>
          <w:szCs w:val="21"/>
        </w:rPr>
      </w:pPr>
      <w:r>
        <w:rPr>
          <w:rFonts w:hint="eastAsia" w:ascii="宋体" w:hAnsi="宋体" w:eastAsia="宋体" w:cs="Times New Roman"/>
          <w:szCs w:val="21"/>
        </w:rPr>
        <w:t>机电一体化技术（460301）</w:t>
      </w:r>
    </w:p>
    <w:p>
      <w:pPr>
        <w:keepNext/>
        <w:keepLines/>
        <w:spacing w:before="156" w:beforeLines="50" w:after="156" w:afterLines="50" w:line="300" w:lineRule="auto"/>
        <w:outlineLvl w:val="1"/>
        <w:rPr>
          <w:rFonts w:ascii="Arial" w:hAnsi="Arial" w:eastAsia="黑体" w:cs="Times New Roman"/>
          <w:b/>
          <w:color w:val="000000"/>
          <w:sz w:val="24"/>
          <w:szCs w:val="28"/>
        </w:rPr>
      </w:pPr>
      <w:bookmarkStart w:id="1" w:name="_Toc105704407"/>
      <w:r>
        <w:rPr>
          <w:rFonts w:hint="eastAsia" w:ascii="Arial" w:hAnsi="Arial" w:eastAsia="黑体" w:cs="Times New Roman"/>
          <w:b/>
          <w:color w:val="000000"/>
          <w:sz w:val="24"/>
          <w:szCs w:val="28"/>
        </w:rPr>
        <w:t>二、入学要求</w:t>
      </w:r>
      <w:bookmarkEnd w:id="1"/>
    </w:p>
    <w:p>
      <w:pPr>
        <w:overflowPunct w:val="0"/>
        <w:adjustRightInd w:val="0"/>
        <w:ind w:firstLine="420" w:firstLineChars="200"/>
        <w:rPr>
          <w:rFonts w:ascii="宋体" w:hAnsi="宋体" w:eastAsia="宋体" w:cs="Times New Roman"/>
          <w:szCs w:val="21"/>
        </w:rPr>
      </w:pPr>
      <w:r>
        <w:rPr>
          <w:rFonts w:ascii="宋体" w:hAnsi="宋体" w:eastAsia="宋体" w:cs="Times New Roman"/>
          <w:szCs w:val="21"/>
        </w:rPr>
        <w:t>普通高级中学毕业、中等职业学校毕业或具备同等学力</w:t>
      </w:r>
    </w:p>
    <w:p>
      <w:pPr>
        <w:keepNext/>
        <w:keepLines/>
        <w:spacing w:before="156" w:beforeLines="50" w:after="156" w:afterLines="50" w:line="300" w:lineRule="auto"/>
        <w:outlineLvl w:val="1"/>
        <w:rPr>
          <w:rFonts w:ascii="Arial" w:hAnsi="Arial" w:eastAsia="黑体" w:cs="Times New Roman"/>
          <w:b/>
          <w:color w:val="000000"/>
          <w:sz w:val="24"/>
          <w:szCs w:val="28"/>
        </w:rPr>
      </w:pPr>
      <w:bookmarkStart w:id="2" w:name="_Toc105704408"/>
      <w:r>
        <w:rPr>
          <w:rFonts w:hint="eastAsia" w:ascii="Arial" w:hAnsi="Arial" w:eastAsia="黑体" w:cs="Times New Roman"/>
          <w:b/>
          <w:color w:val="000000"/>
          <w:sz w:val="24"/>
          <w:szCs w:val="28"/>
        </w:rPr>
        <w:t>三、修业年限</w:t>
      </w:r>
      <w:bookmarkEnd w:id="2"/>
    </w:p>
    <w:p>
      <w:pPr>
        <w:spacing w:line="300" w:lineRule="auto"/>
        <w:ind w:firstLine="420" w:firstLineChars="200"/>
        <w:rPr>
          <w:rFonts w:ascii="宋体" w:hAnsi="宋体" w:eastAsia="宋体" w:cs="Times New Roman"/>
          <w:szCs w:val="21"/>
        </w:rPr>
      </w:pPr>
      <w:r>
        <w:rPr>
          <w:rFonts w:hint="eastAsia" w:ascii="宋体" w:hAnsi="宋体" w:eastAsia="宋体" w:cs="Times New Roman"/>
          <w:szCs w:val="21"/>
        </w:rPr>
        <w:t>三年  可以根据灵活学习需求合理、弹性安排学习时间</w:t>
      </w:r>
    </w:p>
    <w:p>
      <w:pPr>
        <w:keepNext/>
        <w:keepLines/>
        <w:spacing w:before="156" w:beforeLines="50" w:after="156" w:afterLines="50" w:line="300" w:lineRule="auto"/>
        <w:outlineLvl w:val="1"/>
        <w:rPr>
          <w:rFonts w:ascii="Arial" w:hAnsi="Arial" w:eastAsia="黑体" w:cs="Times New Roman"/>
          <w:b/>
          <w:color w:val="000000"/>
          <w:sz w:val="24"/>
          <w:szCs w:val="28"/>
        </w:rPr>
      </w:pPr>
      <w:bookmarkStart w:id="3" w:name="_Toc105704409"/>
      <w:r>
        <w:rPr>
          <w:rFonts w:hint="eastAsia" w:ascii="Arial" w:hAnsi="Arial" w:eastAsia="黑体" w:cs="Times New Roman"/>
          <w:b/>
          <w:color w:val="000000"/>
          <w:sz w:val="24"/>
          <w:szCs w:val="28"/>
        </w:rPr>
        <w:t>四、职业面向</w:t>
      </w:r>
      <w:bookmarkEnd w:id="3"/>
    </w:p>
    <w:p>
      <w:pPr>
        <w:spacing w:line="300" w:lineRule="auto"/>
        <w:ind w:firstLine="420" w:firstLineChars="200"/>
        <w:rPr>
          <w:rFonts w:ascii="宋体" w:hAnsi="宋体" w:eastAsia="宋体" w:cs="Times New Roman"/>
          <w:szCs w:val="21"/>
        </w:rPr>
      </w:pPr>
      <w:r>
        <w:rPr>
          <w:rFonts w:hint="eastAsia" w:ascii="宋体" w:hAnsi="宋体" w:eastAsia="宋体" w:cs="Times New Roman"/>
          <w:szCs w:val="21"/>
        </w:rPr>
        <w:t>本专业职业面向表如表1所示</w:t>
      </w:r>
    </w:p>
    <w:p>
      <w:pPr>
        <w:spacing w:line="300" w:lineRule="auto"/>
        <w:ind w:firstLine="422" w:firstLineChars="200"/>
        <w:jc w:val="center"/>
        <w:rPr>
          <w:rFonts w:ascii="宋体" w:hAnsi="宋体" w:eastAsia="宋体" w:cs="Times New Roman"/>
          <w:b/>
          <w:szCs w:val="21"/>
        </w:rPr>
      </w:pPr>
      <w:r>
        <w:rPr>
          <w:rFonts w:hint="eastAsia" w:ascii="宋体" w:hAnsi="宋体" w:eastAsia="宋体" w:cs="Times New Roman"/>
          <w:b/>
          <w:szCs w:val="21"/>
        </w:rPr>
        <w:t>表</w:t>
      </w:r>
      <w:r>
        <w:rPr>
          <w:rFonts w:ascii="宋体" w:hAnsi="宋体" w:eastAsia="宋体" w:cs="Times New Roman"/>
          <w:b/>
          <w:szCs w:val="21"/>
        </w:rPr>
        <w:t>1  本专业</w:t>
      </w:r>
      <w:r>
        <w:rPr>
          <w:rFonts w:hint="eastAsia" w:ascii="宋体" w:hAnsi="宋体" w:eastAsia="宋体" w:cs="Times New Roman"/>
          <w:b/>
          <w:szCs w:val="21"/>
        </w:rPr>
        <w:t>职业面向</w:t>
      </w:r>
    </w:p>
    <w:tbl>
      <w:tblPr>
        <w:tblStyle w:val="12"/>
        <w:tblpPr w:leftFromText="180" w:rightFromText="180" w:vertAnchor="text" w:horzAnchor="margin" w:tblpY="56"/>
        <w:tblW w:w="8897"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92"/>
        <w:gridCol w:w="1418"/>
        <w:gridCol w:w="2126"/>
        <w:gridCol w:w="354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30" w:hRule="exact"/>
        </w:trPr>
        <w:tc>
          <w:tcPr>
            <w:tcW w:w="817" w:type="dxa"/>
            <w:vAlign w:val="center"/>
          </w:tcPr>
          <w:p>
            <w:pPr>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所属专业大类</w:t>
            </w:r>
          </w:p>
        </w:tc>
        <w:tc>
          <w:tcPr>
            <w:tcW w:w="992" w:type="dxa"/>
            <w:vAlign w:val="center"/>
          </w:tcPr>
          <w:p>
            <w:pPr>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所属</w:t>
            </w:r>
          </w:p>
          <w:p>
            <w:pPr>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专业类</w:t>
            </w:r>
          </w:p>
        </w:tc>
        <w:tc>
          <w:tcPr>
            <w:tcW w:w="1418" w:type="dxa"/>
            <w:vAlign w:val="center"/>
          </w:tcPr>
          <w:p>
            <w:pPr>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对应行业</w:t>
            </w:r>
          </w:p>
        </w:tc>
        <w:tc>
          <w:tcPr>
            <w:tcW w:w="2126" w:type="dxa"/>
            <w:vAlign w:val="center"/>
          </w:tcPr>
          <w:p>
            <w:pPr>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主要职业类别</w:t>
            </w:r>
          </w:p>
        </w:tc>
        <w:tc>
          <w:tcPr>
            <w:tcW w:w="3544" w:type="dxa"/>
            <w:vAlign w:val="center"/>
          </w:tcPr>
          <w:p>
            <w:pPr>
              <w:jc w:val="center"/>
              <w:rPr>
                <w:rFonts w:ascii="Times New Roman" w:hAnsi="Times New Roman" w:eastAsia="宋体" w:cs="Times New Roman"/>
                <w:b/>
                <w:sz w:val="18"/>
                <w:szCs w:val="18"/>
              </w:rPr>
            </w:pPr>
            <w:r>
              <w:rPr>
                <w:rFonts w:hint="eastAsia" w:ascii="Times New Roman" w:hAnsi="Times New Roman" w:eastAsia="宋体" w:cs="Times New Roman"/>
                <w:b/>
                <w:sz w:val="18"/>
                <w:szCs w:val="18"/>
              </w:rPr>
              <w:t>主要岗位类别（或技术领域）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43" w:hRule="exact"/>
        </w:trPr>
        <w:tc>
          <w:tcPr>
            <w:tcW w:w="817" w:type="dxa"/>
            <w:vAlign w:val="center"/>
          </w:tcPr>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装备制造大类（46）</w:t>
            </w:r>
          </w:p>
        </w:tc>
        <w:tc>
          <w:tcPr>
            <w:tcW w:w="992" w:type="dxa"/>
            <w:vAlign w:val="center"/>
          </w:tcPr>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自动化类（4603）</w:t>
            </w:r>
          </w:p>
        </w:tc>
        <w:tc>
          <w:tcPr>
            <w:tcW w:w="1418" w:type="dxa"/>
            <w:vAlign w:val="center"/>
          </w:tcPr>
          <w:p>
            <w:pPr>
              <w:jc w:val="left"/>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r>
              <w:rPr>
                <w:rFonts w:hint="eastAsia"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t>通用设备制造业（34）</w:t>
            </w:r>
          </w:p>
          <w:p>
            <w:pPr>
              <w:jc w:val="left"/>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r>
              <w:rPr>
                <w:rFonts w:hint="eastAsia"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t>专用设备制造业（35）</w:t>
            </w:r>
          </w:p>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金属制品、机械和设备修理业（43）</w:t>
            </w:r>
          </w:p>
        </w:tc>
        <w:tc>
          <w:tcPr>
            <w:tcW w:w="2126" w:type="dxa"/>
            <w:vAlign w:val="center"/>
          </w:tcPr>
          <w:p>
            <w:pPr>
              <w:jc w:val="left"/>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r>
              <w:rPr>
                <w:rFonts w:hint="eastAsia"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t>自动控制工程技术人员（2-02-07-07）</w:t>
            </w:r>
          </w:p>
          <w:p>
            <w:pPr>
              <w:jc w:val="left"/>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r>
              <w:rPr>
                <w:rFonts w:hint="eastAsia"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t>电工电器工程技术人员（2-02-11-01）</w:t>
            </w:r>
          </w:p>
          <w:p>
            <w:pPr>
              <w:jc w:val="left"/>
              <w:rPr>
                <w:rFonts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pPr>
            <w:r>
              <w:rPr>
                <w:rFonts w:hint="eastAsia"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t>设备工程技术人员（2-02-07-04）</w:t>
            </w:r>
          </w:p>
          <w:p>
            <w:pPr>
              <w:jc w:val="left"/>
              <w:rPr>
                <w:rFonts w:ascii="Times New Roman" w:hAnsi="Times New Roman" w:eastAsia="宋体" w:cs="Times New Roman"/>
                <w:sz w:val="18"/>
                <w:szCs w:val="18"/>
              </w:rPr>
            </w:pPr>
            <w:r>
              <w:rPr>
                <w:rFonts w:hint="eastAsia" w:ascii="Times New Roman" w:hAnsi="Times New Roman" w:eastAsia="宋体" w:cs="Times New Roman"/>
                <w:color w:val="0D0D0D" w:themeColor="text1" w:themeTint="F2"/>
                <w:sz w:val="18"/>
                <w:szCs w:val="18"/>
                <w14:textFill>
                  <w14:solidFill>
                    <w14:schemeClr w14:val="tx1">
                      <w14:lumMod w14:val="95000"/>
                      <w14:lumOff w14:val="5000"/>
                    </w14:schemeClr>
                  </w14:solidFill>
                </w14:textFill>
              </w:rPr>
              <w:t>机械设备修理人员（6-31-01）</w:t>
            </w:r>
          </w:p>
        </w:tc>
        <w:tc>
          <w:tcPr>
            <w:tcW w:w="3544" w:type="dxa"/>
            <w:vAlign w:val="center"/>
          </w:tcPr>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机电一体化设备维修技术员</w:t>
            </w:r>
          </w:p>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自动生产线运维技术员</w:t>
            </w:r>
          </w:p>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工业机器人应用技术员</w:t>
            </w:r>
          </w:p>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机电一体化设备生产管理员</w:t>
            </w:r>
          </w:p>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lang w:eastAsia="zh-Hans"/>
              </w:rPr>
              <w:t>机电一体化设备安装与调试技术员</w:t>
            </w:r>
          </w:p>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机电一体化设备销售和技术支持技术员</w:t>
            </w:r>
          </w:p>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机电一体化设备技改技术员</w:t>
            </w:r>
          </w:p>
        </w:tc>
      </w:tr>
    </w:tbl>
    <w:p>
      <w:pPr>
        <w:overflowPunct w:val="0"/>
        <w:adjustRightInd w:val="0"/>
        <w:rPr>
          <w:rFonts w:ascii="Times New Roman" w:hAnsi="Times New Roman" w:eastAsia="方正仿宋简体" w:cs="Times New Roman"/>
          <w:sz w:val="24"/>
          <w:szCs w:val="24"/>
        </w:rPr>
      </w:pPr>
    </w:p>
    <w:p>
      <w:pPr>
        <w:keepNext/>
        <w:keepLines/>
        <w:spacing w:before="156" w:beforeLines="50" w:after="156" w:afterLines="50" w:line="300" w:lineRule="auto"/>
        <w:outlineLvl w:val="1"/>
        <w:rPr>
          <w:rFonts w:ascii="Arial" w:hAnsi="Arial" w:eastAsia="黑体" w:cs="Times New Roman"/>
          <w:b/>
          <w:color w:val="000000"/>
          <w:sz w:val="24"/>
          <w:szCs w:val="28"/>
        </w:rPr>
      </w:pPr>
      <w:bookmarkStart w:id="4" w:name="_Toc105704410"/>
      <w:r>
        <w:rPr>
          <w:rFonts w:hint="eastAsia" w:ascii="Arial" w:hAnsi="Arial" w:eastAsia="黑体" w:cs="Times New Roman"/>
          <w:b/>
          <w:color w:val="000000"/>
          <w:sz w:val="24"/>
          <w:szCs w:val="28"/>
        </w:rPr>
        <w:t>五、培养目标与培养规格</w:t>
      </w:r>
      <w:bookmarkEnd w:id="4"/>
    </w:p>
    <w:p>
      <w:pPr>
        <w:overflowPunct w:val="0"/>
        <w:adjustRightInd w:val="0"/>
        <w:spacing w:line="360" w:lineRule="auto"/>
        <w:ind w:firstLine="422" w:firstLineChars="200"/>
        <w:outlineLvl w:val="0"/>
        <w:rPr>
          <w:rFonts w:ascii="宋体" w:hAnsi="宋体" w:eastAsia="宋体" w:cs="Times New Roman"/>
          <w:b/>
          <w:szCs w:val="21"/>
        </w:rPr>
      </w:pPr>
      <w:bookmarkStart w:id="5" w:name="_Toc105704411"/>
      <w:r>
        <w:rPr>
          <w:rFonts w:hint="eastAsia" w:ascii="宋体" w:hAnsi="宋体" w:eastAsia="宋体" w:cs="Times New Roman"/>
          <w:b/>
          <w:szCs w:val="21"/>
        </w:rPr>
        <w:t>（一）培养目标</w:t>
      </w:r>
      <w:bookmarkEnd w:id="5"/>
    </w:p>
    <w:p>
      <w:pPr>
        <w:pStyle w:val="16"/>
        <w:tabs>
          <w:tab w:val="left" w:pos="1014"/>
        </w:tabs>
        <w:spacing w:after="40"/>
        <w:rPr>
          <w:color w:val="000000"/>
          <w:sz w:val="21"/>
          <w:szCs w:val="21"/>
          <w:lang w:val="en-US" w:eastAsia="zh-CN"/>
        </w:rPr>
      </w:pPr>
      <w:r>
        <w:rPr>
          <w:color w:val="000000"/>
          <w:sz w:val="21"/>
          <w:szCs w:val="21"/>
          <w:lang w:val="en-US" w:eastAsia="zh-CN"/>
        </w:rPr>
        <w:t>本专业培养理想信念坚定</w:t>
      </w:r>
      <w:r>
        <w:rPr>
          <w:rFonts w:hint="eastAsia"/>
          <w:color w:val="000000"/>
          <w:sz w:val="21"/>
          <w:szCs w:val="21"/>
          <w:lang w:val="en-US" w:eastAsia="zh-CN"/>
        </w:rPr>
        <w:t>，</w:t>
      </w:r>
      <w:r>
        <w:rPr>
          <w:color w:val="000000"/>
          <w:sz w:val="21"/>
          <w:szCs w:val="21"/>
          <w:lang w:val="en-US" w:eastAsia="zh-CN"/>
        </w:rPr>
        <w:t>德</w:t>
      </w:r>
      <w:r>
        <w:rPr>
          <w:rFonts w:hint="eastAsia"/>
          <w:color w:val="000000"/>
          <w:sz w:val="21"/>
          <w:szCs w:val="21"/>
          <w:lang w:val="en-US" w:eastAsia="zh-CN"/>
        </w:rPr>
        <w:t>、</w:t>
      </w:r>
      <w:r>
        <w:rPr>
          <w:color w:val="000000"/>
          <w:sz w:val="21"/>
          <w:szCs w:val="21"/>
          <w:lang w:val="en-US" w:eastAsia="zh-CN"/>
        </w:rPr>
        <w:t>智</w:t>
      </w:r>
      <w:r>
        <w:rPr>
          <w:rFonts w:hint="eastAsia"/>
          <w:color w:val="000000"/>
          <w:sz w:val="21"/>
          <w:szCs w:val="21"/>
          <w:lang w:val="en-US" w:eastAsia="zh-CN"/>
        </w:rPr>
        <w:t>、</w:t>
      </w:r>
      <w:r>
        <w:rPr>
          <w:color w:val="000000"/>
          <w:sz w:val="21"/>
          <w:szCs w:val="21"/>
          <w:lang w:val="en-US" w:eastAsia="zh-CN"/>
        </w:rPr>
        <w:t>体</w:t>
      </w:r>
      <w:r>
        <w:rPr>
          <w:rFonts w:hint="eastAsia"/>
          <w:color w:val="000000"/>
          <w:sz w:val="21"/>
          <w:szCs w:val="21"/>
          <w:lang w:val="en-US" w:eastAsia="zh-CN"/>
        </w:rPr>
        <w:t>、</w:t>
      </w:r>
      <w:r>
        <w:rPr>
          <w:color w:val="000000"/>
          <w:sz w:val="21"/>
          <w:szCs w:val="21"/>
          <w:lang w:val="en-US" w:eastAsia="zh-CN"/>
        </w:rPr>
        <w:t>美</w:t>
      </w:r>
      <w:r>
        <w:rPr>
          <w:rFonts w:hint="eastAsia"/>
          <w:color w:val="000000"/>
          <w:sz w:val="21"/>
          <w:szCs w:val="21"/>
          <w:lang w:val="en-US" w:eastAsia="zh-CN"/>
        </w:rPr>
        <w:t>、</w:t>
      </w:r>
      <w:r>
        <w:rPr>
          <w:color w:val="000000"/>
          <w:sz w:val="21"/>
          <w:szCs w:val="21"/>
          <w:lang w:val="en-US" w:eastAsia="zh-CN"/>
        </w:rPr>
        <w:t>劳全面发展</w:t>
      </w:r>
      <w:r>
        <w:rPr>
          <w:rFonts w:hint="eastAsia"/>
          <w:color w:val="000000"/>
          <w:sz w:val="21"/>
          <w:szCs w:val="21"/>
          <w:lang w:val="en-US" w:eastAsia="zh-CN"/>
        </w:rPr>
        <w:t>，</w:t>
      </w:r>
      <w:r>
        <w:rPr>
          <w:color w:val="000000"/>
          <w:sz w:val="21"/>
          <w:szCs w:val="21"/>
          <w:lang w:val="en-US" w:eastAsia="zh-CN"/>
        </w:rPr>
        <w:t>具有一定的科学文化水平</w:t>
      </w:r>
      <w:r>
        <w:rPr>
          <w:rFonts w:hint="eastAsia"/>
          <w:color w:val="000000"/>
          <w:sz w:val="21"/>
          <w:szCs w:val="21"/>
          <w:lang w:val="en-US" w:eastAsia="zh-CN"/>
        </w:rPr>
        <w:t>，</w:t>
      </w:r>
      <w:r>
        <w:rPr>
          <w:color w:val="000000"/>
          <w:sz w:val="21"/>
          <w:szCs w:val="21"/>
          <w:lang w:val="en-US" w:eastAsia="zh-CN"/>
        </w:rPr>
        <w:t>良好的人文素养</w:t>
      </w:r>
      <w:r>
        <w:rPr>
          <w:rFonts w:hint="eastAsia"/>
          <w:color w:val="000000"/>
          <w:sz w:val="21"/>
          <w:szCs w:val="21"/>
          <w:lang w:val="en-US" w:eastAsia="zh-CN"/>
        </w:rPr>
        <w:t>、</w:t>
      </w:r>
      <w:r>
        <w:rPr>
          <w:color w:val="000000"/>
          <w:sz w:val="21"/>
          <w:szCs w:val="21"/>
          <w:lang w:val="en-US" w:eastAsia="zh-CN"/>
        </w:rPr>
        <w:t>职业道德和创新意识</w:t>
      </w:r>
      <w:r>
        <w:rPr>
          <w:rFonts w:hint="eastAsia"/>
          <w:color w:val="000000"/>
          <w:sz w:val="21"/>
          <w:szCs w:val="21"/>
          <w:lang w:val="en-US" w:eastAsia="zh-CN"/>
        </w:rPr>
        <w:t>，</w:t>
      </w:r>
      <w:r>
        <w:rPr>
          <w:color w:val="000000"/>
          <w:sz w:val="21"/>
          <w:szCs w:val="21"/>
          <w:lang w:val="en-US" w:eastAsia="zh-CN"/>
        </w:rPr>
        <w:t>精益求精的工匠精神</w:t>
      </w:r>
      <w:r>
        <w:rPr>
          <w:rFonts w:hint="eastAsia"/>
          <w:color w:val="000000"/>
          <w:sz w:val="21"/>
          <w:szCs w:val="21"/>
          <w:lang w:val="en-US" w:eastAsia="zh-CN"/>
        </w:rPr>
        <w:t>，</w:t>
      </w:r>
      <w:r>
        <w:rPr>
          <w:color w:val="000000"/>
          <w:sz w:val="21"/>
          <w:szCs w:val="21"/>
          <w:lang w:val="en-US" w:eastAsia="zh-CN"/>
        </w:rPr>
        <w:t>较强的就业能力和可持续发展的能力</w:t>
      </w:r>
      <w:r>
        <w:rPr>
          <w:rFonts w:hint="eastAsia"/>
          <w:color w:val="000000"/>
          <w:sz w:val="21"/>
          <w:szCs w:val="21"/>
          <w:lang w:val="en-US" w:eastAsia="zh-CN"/>
        </w:rPr>
        <w:t>，</w:t>
      </w:r>
      <w:r>
        <w:rPr>
          <w:color w:val="000000"/>
          <w:sz w:val="21"/>
          <w:szCs w:val="21"/>
          <w:lang w:val="en-US" w:eastAsia="zh-CN"/>
        </w:rPr>
        <w:t>掌握本专业知识和技术技能</w:t>
      </w:r>
      <w:r>
        <w:rPr>
          <w:rFonts w:hint="eastAsia"/>
          <w:color w:val="000000"/>
          <w:sz w:val="21"/>
          <w:szCs w:val="21"/>
          <w:lang w:val="en-US" w:eastAsia="zh-CN"/>
        </w:rPr>
        <w:t>，</w:t>
      </w:r>
      <w:r>
        <w:rPr>
          <w:color w:val="000000"/>
          <w:sz w:val="21"/>
          <w:szCs w:val="21"/>
          <w:lang w:val="en-US" w:eastAsia="zh-CN"/>
        </w:rPr>
        <w:t>面向电子信息、自动化、机械生产等具有国际水平的机电技术应用企业，培育具有相关职业领域国际文化理解与沟通能力，掌握国际通用技术与工作方法，能胜任这些企业的生产一线机械制造或使用过程机电一体化操作使用、维护和设备管理等工作</w:t>
      </w:r>
      <w:r>
        <w:rPr>
          <w:rFonts w:hint="eastAsia"/>
          <w:color w:val="000000"/>
          <w:sz w:val="21"/>
          <w:szCs w:val="21"/>
          <w:lang w:val="en-US" w:eastAsia="zh-CN"/>
        </w:rPr>
        <w:t>的</w:t>
      </w:r>
      <w:r>
        <w:rPr>
          <w:color w:val="000000"/>
          <w:sz w:val="21"/>
          <w:szCs w:val="21"/>
          <w:lang w:val="en-US" w:eastAsia="zh-CN"/>
        </w:rPr>
        <w:t>高素质技术技能人才。</w:t>
      </w:r>
    </w:p>
    <w:p>
      <w:pPr>
        <w:overflowPunct w:val="0"/>
        <w:adjustRightInd w:val="0"/>
        <w:spacing w:line="360" w:lineRule="auto"/>
        <w:ind w:firstLine="422" w:firstLineChars="200"/>
        <w:outlineLvl w:val="0"/>
        <w:rPr>
          <w:rFonts w:ascii="宋体" w:hAnsi="宋体" w:eastAsia="宋体" w:cs="Times New Roman"/>
          <w:b/>
          <w:szCs w:val="21"/>
        </w:rPr>
      </w:pPr>
      <w:bookmarkStart w:id="6" w:name="_Toc105704412"/>
      <w:r>
        <w:rPr>
          <w:rFonts w:ascii="宋体" w:hAnsi="宋体" w:eastAsia="宋体" w:cs="Times New Roman"/>
          <w:b/>
          <w:szCs w:val="21"/>
        </w:rPr>
        <w:t>（二）培养规格</w:t>
      </w:r>
      <w:bookmarkEnd w:id="6"/>
    </w:p>
    <w:p>
      <w:pPr>
        <w:pStyle w:val="16"/>
        <w:tabs>
          <w:tab w:val="left" w:pos="1014"/>
        </w:tabs>
        <w:spacing w:after="40"/>
        <w:ind w:left="440" w:firstLine="0"/>
        <w:rPr>
          <w:color w:val="000000"/>
          <w:sz w:val="21"/>
          <w:szCs w:val="21"/>
          <w:lang w:val="en-US" w:eastAsia="zh-CN"/>
        </w:rPr>
      </w:pPr>
      <w:r>
        <w:rPr>
          <w:color w:val="000000"/>
          <w:sz w:val="21"/>
          <w:szCs w:val="21"/>
          <w:lang w:val="en-US" w:eastAsia="zh-CN"/>
        </w:rPr>
        <w:t>1．素质</w:t>
      </w:r>
    </w:p>
    <w:p>
      <w:pPr>
        <w:pStyle w:val="16"/>
        <w:tabs>
          <w:tab w:val="left" w:pos="1014"/>
        </w:tabs>
        <w:spacing w:after="40"/>
        <w:rPr>
          <w:color w:val="000000"/>
          <w:sz w:val="21"/>
          <w:szCs w:val="21"/>
          <w:lang w:val="en-US" w:eastAsia="zh-CN"/>
        </w:rPr>
      </w:pPr>
      <w:r>
        <w:rPr>
          <w:color w:val="000000"/>
          <w:sz w:val="21"/>
          <w:szCs w:val="21"/>
          <w:lang w:eastAsia="zh-CN"/>
        </w:rPr>
        <w:t>（1）</w:t>
      </w:r>
      <w:r>
        <w:rPr>
          <w:rFonts w:hint="eastAsia"/>
          <w:color w:val="000000"/>
          <w:sz w:val="21"/>
          <w:szCs w:val="21"/>
          <w:lang w:val="en-US" w:eastAsia="zh-CN"/>
        </w:rPr>
        <w:t>坚定拥护中国共产党领导和我国社会主义制度，在习近平新时代中国特色社会主义思想指引下，践行社会主义核心价值观，具有深厚的爱国情感和中华民族自豪感</w:t>
      </w:r>
      <w:r>
        <w:rPr>
          <w:color w:val="000000"/>
          <w:sz w:val="21"/>
          <w:szCs w:val="21"/>
          <w:lang w:eastAsia="zh-CN"/>
        </w:rPr>
        <w:t>；</w:t>
      </w:r>
    </w:p>
    <w:p>
      <w:pPr>
        <w:pStyle w:val="16"/>
        <w:tabs>
          <w:tab w:val="left" w:pos="1014"/>
        </w:tabs>
        <w:spacing w:after="40"/>
        <w:rPr>
          <w:color w:val="000000"/>
          <w:sz w:val="21"/>
          <w:szCs w:val="21"/>
          <w:lang w:val="en-US" w:eastAsia="zh-CN"/>
        </w:rPr>
      </w:pPr>
      <w:r>
        <w:rPr>
          <w:color w:val="000000"/>
          <w:sz w:val="21"/>
          <w:szCs w:val="21"/>
          <w:lang w:eastAsia="zh-CN"/>
        </w:rPr>
        <w:t>（2）</w:t>
      </w:r>
      <w:r>
        <w:rPr>
          <w:rFonts w:hint="eastAsia"/>
          <w:color w:val="000000"/>
          <w:sz w:val="21"/>
          <w:szCs w:val="21"/>
          <w:lang w:val="zh-CN" w:eastAsia="zh-CN"/>
        </w:rPr>
        <w:t>崇</w:t>
      </w:r>
      <w:r>
        <w:rPr>
          <w:rFonts w:hint="eastAsia"/>
          <w:color w:val="000000"/>
          <w:sz w:val="21"/>
          <w:szCs w:val="21"/>
          <w:lang w:val="en-US" w:eastAsia="zh-CN"/>
        </w:rPr>
        <w:t>尚宪法、遵法守纪、崇德向善、诚实守信、尊重生命、热爱劳动，履行道德准则和行为规范，具有社会责任感和社会参与意识</w:t>
      </w:r>
      <w:r>
        <w:rPr>
          <w:color w:val="000000"/>
          <w:sz w:val="21"/>
          <w:szCs w:val="21"/>
          <w:lang w:eastAsia="zh-CN"/>
        </w:rPr>
        <w:t>；</w:t>
      </w:r>
    </w:p>
    <w:p>
      <w:pPr>
        <w:pStyle w:val="16"/>
        <w:tabs>
          <w:tab w:val="left" w:pos="1014"/>
        </w:tabs>
        <w:spacing w:after="40"/>
        <w:rPr>
          <w:color w:val="000000"/>
          <w:sz w:val="21"/>
          <w:szCs w:val="21"/>
          <w:lang w:val="en-US" w:eastAsia="zh-CN"/>
        </w:rPr>
      </w:pPr>
      <w:bookmarkStart w:id="7" w:name="bookmark28"/>
      <w:bookmarkEnd w:id="7"/>
      <w:r>
        <w:rPr>
          <w:color w:val="000000"/>
          <w:sz w:val="21"/>
          <w:szCs w:val="21"/>
          <w:lang w:eastAsia="zh-CN"/>
        </w:rPr>
        <w:t>（3）</w:t>
      </w:r>
      <w:r>
        <w:rPr>
          <w:rFonts w:hint="eastAsia"/>
          <w:color w:val="000000"/>
          <w:sz w:val="21"/>
          <w:szCs w:val="21"/>
          <w:lang w:val="en-US" w:eastAsia="zh-CN"/>
        </w:rPr>
        <w:t>具有质量意识、环保意识、安全意识、信息素养、工匠精神、创新思维</w:t>
      </w:r>
      <w:r>
        <w:rPr>
          <w:color w:val="000000"/>
          <w:sz w:val="21"/>
          <w:szCs w:val="21"/>
          <w:lang w:eastAsia="zh-CN"/>
        </w:rPr>
        <w:t>；</w:t>
      </w:r>
    </w:p>
    <w:p>
      <w:pPr>
        <w:pStyle w:val="16"/>
        <w:tabs>
          <w:tab w:val="left" w:pos="1014"/>
        </w:tabs>
        <w:spacing w:after="40"/>
        <w:rPr>
          <w:color w:val="000000"/>
          <w:sz w:val="21"/>
          <w:szCs w:val="21"/>
          <w:lang w:val="en-US" w:eastAsia="zh-CN"/>
        </w:rPr>
      </w:pPr>
      <w:bookmarkStart w:id="8" w:name="bookmark29"/>
      <w:bookmarkEnd w:id="8"/>
      <w:r>
        <w:rPr>
          <w:color w:val="000000"/>
          <w:sz w:val="21"/>
          <w:szCs w:val="21"/>
          <w:lang w:eastAsia="zh-CN"/>
        </w:rPr>
        <w:t>（4）</w:t>
      </w:r>
      <w:r>
        <w:rPr>
          <w:rFonts w:hint="eastAsia"/>
          <w:color w:val="000000"/>
          <w:sz w:val="21"/>
          <w:szCs w:val="21"/>
          <w:lang w:val="zh-CN" w:eastAsia="zh-CN"/>
        </w:rPr>
        <w:t>勇</w:t>
      </w:r>
      <w:r>
        <w:rPr>
          <w:rFonts w:hint="eastAsia"/>
          <w:color w:val="000000"/>
          <w:sz w:val="21"/>
          <w:szCs w:val="21"/>
          <w:lang w:val="en-US" w:eastAsia="zh-CN"/>
        </w:rPr>
        <w:t>于奋斗、乐观向上，具有自我管理能力、职业生涯规划的意识，有较强的集体意识和团队合作精神</w:t>
      </w:r>
      <w:r>
        <w:rPr>
          <w:color w:val="000000"/>
          <w:sz w:val="21"/>
          <w:szCs w:val="21"/>
          <w:lang w:eastAsia="zh-CN"/>
        </w:rPr>
        <w:t>；</w:t>
      </w:r>
    </w:p>
    <w:p>
      <w:pPr>
        <w:pStyle w:val="16"/>
        <w:tabs>
          <w:tab w:val="left" w:pos="1014"/>
        </w:tabs>
        <w:spacing w:after="40"/>
        <w:rPr>
          <w:color w:val="000000"/>
          <w:sz w:val="21"/>
          <w:szCs w:val="21"/>
          <w:lang w:val="en-US" w:eastAsia="zh-CN"/>
        </w:rPr>
      </w:pPr>
      <w:bookmarkStart w:id="9" w:name="bookmark30"/>
      <w:bookmarkEnd w:id="9"/>
      <w:r>
        <w:rPr>
          <w:color w:val="000000"/>
          <w:sz w:val="21"/>
          <w:szCs w:val="21"/>
          <w:lang w:eastAsia="zh-CN"/>
        </w:rPr>
        <w:t>（5）</w:t>
      </w:r>
      <w:r>
        <w:rPr>
          <w:rFonts w:hint="eastAsia"/>
          <w:color w:val="000000"/>
          <w:sz w:val="21"/>
          <w:szCs w:val="21"/>
          <w:lang w:val="en-US" w:eastAsia="zh-CN"/>
        </w:rPr>
        <w:t>具有健康的体魄、心理和健全的人格，掌握基本运动知识和1~2项运动技能，养成良好的健身与卫生习惯，以及良好的行为习惯</w:t>
      </w:r>
      <w:r>
        <w:rPr>
          <w:color w:val="000000"/>
          <w:sz w:val="21"/>
          <w:szCs w:val="21"/>
          <w:lang w:eastAsia="zh-CN"/>
        </w:rPr>
        <w:t>；</w:t>
      </w:r>
    </w:p>
    <w:p>
      <w:pPr>
        <w:pStyle w:val="16"/>
        <w:tabs>
          <w:tab w:val="left" w:pos="1014"/>
        </w:tabs>
        <w:spacing w:after="40"/>
        <w:ind w:left="440" w:firstLine="0"/>
        <w:rPr>
          <w:color w:val="000000"/>
          <w:sz w:val="21"/>
          <w:szCs w:val="21"/>
          <w:lang w:val="en-US" w:eastAsia="zh-CN"/>
        </w:rPr>
      </w:pPr>
      <w:bookmarkStart w:id="10" w:name="bookmark31"/>
      <w:bookmarkEnd w:id="10"/>
      <w:r>
        <w:rPr>
          <w:color w:val="000000"/>
          <w:sz w:val="21"/>
          <w:szCs w:val="21"/>
          <w:lang w:eastAsia="zh-CN"/>
        </w:rPr>
        <w:t>（6）</w:t>
      </w:r>
      <w:r>
        <w:rPr>
          <w:rFonts w:hint="eastAsia"/>
          <w:color w:val="000000"/>
          <w:sz w:val="21"/>
          <w:szCs w:val="21"/>
          <w:lang w:val="en-US" w:eastAsia="zh-CN"/>
        </w:rPr>
        <w:t>具有一定的审美和人文素养，能够形成1~2项艺术特长或爱好</w:t>
      </w:r>
      <w:r>
        <w:rPr>
          <w:color w:val="000000"/>
          <w:sz w:val="21"/>
          <w:szCs w:val="21"/>
          <w:lang w:eastAsia="zh-CN"/>
        </w:rPr>
        <w:t>；</w:t>
      </w:r>
    </w:p>
    <w:p>
      <w:pPr>
        <w:spacing w:line="360" w:lineRule="auto"/>
        <w:rPr>
          <w:rFonts w:ascii="宋体" w:hAnsi="宋体" w:eastAsia="宋体" w:cs="宋体"/>
          <w:color w:val="000000"/>
          <w:szCs w:val="21"/>
          <w:lang w:bidi="zh-TW"/>
        </w:rPr>
      </w:pPr>
      <w:r>
        <w:rPr>
          <w:rFonts w:hint="eastAsia" w:ascii="宋体" w:hAnsi="宋体" w:eastAsia="宋体" w:cs="宋体"/>
          <w:color w:val="000000"/>
          <w:szCs w:val="21"/>
          <w:lang w:bidi="zh-TW"/>
        </w:rPr>
        <w:t xml:space="preserve">2. </w:t>
      </w:r>
      <w:r>
        <w:rPr>
          <w:rFonts w:ascii="宋体" w:hAnsi="宋体" w:eastAsia="宋体" w:cs="宋体"/>
          <w:color w:val="000000"/>
          <w:szCs w:val="21"/>
          <w:lang w:bidi="zh-TW"/>
        </w:rPr>
        <w:t>知识</w:t>
      </w:r>
    </w:p>
    <w:p>
      <w:pPr>
        <w:spacing w:line="360" w:lineRule="auto"/>
        <w:ind w:firstLine="420" w:firstLineChars="200"/>
        <w:rPr>
          <w:rFonts w:ascii="宋体" w:hAnsi="宋体" w:eastAsia="宋体" w:cs="宋体"/>
          <w:color w:val="000000"/>
          <w:szCs w:val="21"/>
          <w:lang w:bidi="zh-TW"/>
        </w:rPr>
      </w:pPr>
      <w:r>
        <w:rPr>
          <w:rFonts w:ascii="宋体" w:hAnsi="宋体" w:eastAsia="宋体" w:cs="宋体"/>
          <w:color w:val="000000"/>
          <w:szCs w:val="21"/>
          <w:lang w:bidi="zh-TW"/>
        </w:rPr>
        <w:t>根据机电一体化</w:t>
      </w:r>
      <w:r>
        <w:rPr>
          <w:rFonts w:hint="eastAsia" w:ascii="宋体" w:hAnsi="宋体" w:eastAsia="宋体" w:cs="宋体"/>
          <w:color w:val="000000"/>
          <w:szCs w:val="21"/>
          <w:lang w:bidi="zh-TW"/>
        </w:rPr>
        <w:t>技术</w:t>
      </w:r>
      <w:r>
        <w:rPr>
          <w:rFonts w:ascii="宋体" w:hAnsi="宋体" w:eastAsia="宋体" w:cs="宋体"/>
          <w:color w:val="000000"/>
          <w:szCs w:val="21"/>
          <w:lang w:bidi="zh-TW"/>
        </w:rPr>
        <w:t>专业</w:t>
      </w:r>
      <w:r>
        <w:rPr>
          <w:rFonts w:hint="eastAsia" w:ascii="宋体" w:hAnsi="宋体" w:eastAsia="宋体" w:cs="宋体"/>
          <w:color w:val="000000"/>
          <w:szCs w:val="21"/>
          <w:lang w:bidi="zh-TW"/>
        </w:rPr>
        <w:t>知识</w:t>
      </w:r>
      <w:r>
        <w:rPr>
          <w:rFonts w:ascii="宋体" w:hAnsi="宋体" w:eastAsia="宋体" w:cs="宋体"/>
          <w:color w:val="000000"/>
          <w:szCs w:val="21"/>
          <w:lang w:bidi="zh-TW"/>
        </w:rPr>
        <w:t>复合度高的特点，</w:t>
      </w:r>
      <w:r>
        <w:rPr>
          <w:rFonts w:hint="eastAsia" w:ascii="宋体" w:hAnsi="宋体" w:eastAsia="宋体" w:cs="宋体"/>
          <w:color w:val="000000"/>
          <w:szCs w:val="21"/>
          <w:lang w:bidi="zh-TW"/>
        </w:rPr>
        <w:t>要求：</w:t>
      </w:r>
    </w:p>
    <w:p>
      <w:pPr>
        <w:pStyle w:val="16"/>
        <w:tabs>
          <w:tab w:val="left" w:pos="1014"/>
        </w:tabs>
        <w:spacing w:after="40"/>
        <w:rPr>
          <w:color w:val="000000"/>
          <w:sz w:val="21"/>
          <w:szCs w:val="21"/>
          <w:lang w:eastAsia="zh-CN"/>
        </w:rPr>
      </w:pPr>
      <w:r>
        <w:rPr>
          <w:color w:val="000000"/>
          <w:sz w:val="21"/>
          <w:szCs w:val="21"/>
          <w:lang w:eastAsia="zh-CN"/>
        </w:rPr>
        <w:t>（1）掌握必备的思想政治理论、科学文化基础知识和中华优秀传统文化知识；</w:t>
      </w:r>
    </w:p>
    <w:p>
      <w:pPr>
        <w:pStyle w:val="16"/>
        <w:tabs>
          <w:tab w:val="left" w:pos="1014"/>
        </w:tabs>
        <w:spacing w:after="40"/>
        <w:ind w:firstLine="420" w:firstLineChars="200"/>
        <w:rPr>
          <w:color w:val="000000"/>
          <w:sz w:val="21"/>
          <w:szCs w:val="21"/>
          <w:lang w:eastAsia="zh-CN"/>
        </w:rPr>
      </w:pPr>
      <w:bookmarkStart w:id="11" w:name="bookmark34"/>
      <w:bookmarkEnd w:id="11"/>
      <w:r>
        <w:rPr>
          <w:color w:val="000000"/>
          <w:sz w:val="21"/>
          <w:szCs w:val="21"/>
          <w:lang w:eastAsia="zh-CN"/>
        </w:rPr>
        <w:t>（2）熟悉与本专业相关的法律法规以及环境保护、安全消防等知识；</w:t>
      </w:r>
    </w:p>
    <w:p>
      <w:pPr>
        <w:pStyle w:val="16"/>
        <w:tabs>
          <w:tab w:val="left" w:pos="1014"/>
        </w:tabs>
        <w:spacing w:after="40"/>
        <w:ind w:left="440" w:firstLine="0"/>
        <w:rPr>
          <w:color w:val="000000"/>
          <w:sz w:val="21"/>
          <w:szCs w:val="21"/>
          <w:lang w:eastAsia="zh-CN"/>
        </w:rPr>
      </w:pPr>
      <w:bookmarkStart w:id="12" w:name="bookmark35"/>
      <w:bookmarkEnd w:id="12"/>
      <w:r>
        <w:rPr>
          <w:color w:val="000000"/>
          <w:sz w:val="21"/>
          <w:szCs w:val="21"/>
          <w:lang w:eastAsia="zh-CN"/>
        </w:rPr>
        <w:t>（3）</w:t>
      </w:r>
      <w:r>
        <w:rPr>
          <w:color w:val="000000"/>
          <w:sz w:val="21"/>
          <w:szCs w:val="21"/>
          <w:lang w:val="zh-CN" w:eastAsia="zh-CN"/>
        </w:rPr>
        <w:t>掌</w:t>
      </w:r>
      <w:r>
        <w:rPr>
          <w:color w:val="000000"/>
          <w:sz w:val="21"/>
          <w:szCs w:val="21"/>
          <w:lang w:eastAsia="zh-CN"/>
        </w:rPr>
        <w:t>握绘制机械图、电气图等工程图的基础知识；</w:t>
      </w:r>
    </w:p>
    <w:p>
      <w:pPr>
        <w:pStyle w:val="16"/>
        <w:tabs>
          <w:tab w:val="left" w:pos="1014"/>
        </w:tabs>
        <w:spacing w:after="40"/>
        <w:rPr>
          <w:color w:val="000000"/>
          <w:sz w:val="21"/>
          <w:szCs w:val="21"/>
          <w:lang w:eastAsia="zh-CN"/>
        </w:rPr>
      </w:pPr>
      <w:bookmarkStart w:id="13" w:name="bookmark36"/>
      <w:bookmarkEnd w:id="13"/>
      <w:r>
        <w:rPr>
          <w:color w:val="000000"/>
          <w:sz w:val="21"/>
          <w:szCs w:val="21"/>
          <w:lang w:eastAsia="zh-CN"/>
        </w:rPr>
        <w:t>（4）掌握工程力学、机械原理、机械零件、工程材料、公差配合、机械加工等技术的专业知识；</w:t>
      </w:r>
    </w:p>
    <w:p>
      <w:pPr>
        <w:pStyle w:val="16"/>
        <w:tabs>
          <w:tab w:val="left" w:pos="1014"/>
        </w:tabs>
        <w:spacing w:after="40"/>
        <w:rPr>
          <w:color w:val="000000"/>
          <w:sz w:val="21"/>
          <w:szCs w:val="21"/>
          <w:lang w:eastAsia="zh-CN"/>
        </w:rPr>
      </w:pPr>
      <w:bookmarkStart w:id="14" w:name="bookmark37"/>
      <w:bookmarkEnd w:id="14"/>
      <w:r>
        <w:rPr>
          <w:color w:val="000000"/>
          <w:sz w:val="21"/>
          <w:szCs w:val="21"/>
          <w:lang w:eastAsia="zh-CN"/>
        </w:rPr>
        <w:t>（5）掌握电工与电子、液压与气动、传感器与检测、电机与拖动、运动控制、</w:t>
      </w:r>
      <w:r>
        <w:rPr>
          <w:color w:val="000000"/>
          <w:sz w:val="21"/>
          <w:szCs w:val="21"/>
          <w:lang w:val="en-US" w:eastAsia="zh-CN"/>
        </w:rPr>
        <w:t>PLC</w:t>
      </w:r>
      <w:r>
        <w:rPr>
          <w:color w:val="000000"/>
          <w:sz w:val="21"/>
          <w:szCs w:val="21"/>
          <w:lang w:eastAsia="zh-CN"/>
        </w:rPr>
        <w:t>控制、工业机器人、人机界面及工业控制网络等技术的专业知识；</w:t>
      </w:r>
    </w:p>
    <w:p>
      <w:pPr>
        <w:pStyle w:val="16"/>
        <w:tabs>
          <w:tab w:val="left" w:pos="1014"/>
        </w:tabs>
        <w:spacing w:after="40"/>
        <w:rPr>
          <w:color w:val="000000"/>
          <w:sz w:val="21"/>
          <w:szCs w:val="21"/>
          <w:lang w:eastAsia="zh-CN"/>
        </w:rPr>
      </w:pPr>
      <w:bookmarkStart w:id="15" w:name="bookmark38"/>
      <w:bookmarkEnd w:id="15"/>
      <w:r>
        <w:rPr>
          <w:color w:val="000000"/>
          <w:sz w:val="21"/>
          <w:szCs w:val="21"/>
          <w:lang w:eastAsia="zh-CN"/>
        </w:rPr>
        <w:t>（6）</w:t>
      </w:r>
      <w:r>
        <w:rPr>
          <w:color w:val="000000"/>
          <w:sz w:val="21"/>
          <w:szCs w:val="21"/>
          <w:lang w:val="zh-CN" w:eastAsia="zh-CN"/>
        </w:rPr>
        <w:t>掌</w:t>
      </w:r>
      <w:r>
        <w:rPr>
          <w:color w:val="000000"/>
          <w:sz w:val="21"/>
          <w:szCs w:val="21"/>
          <w:lang w:eastAsia="zh-CN"/>
        </w:rPr>
        <w:t>握典型机电一体化设备的安装调试、维护与维修，自动化生产线和智能制造单元的运行与维护等机电综合知识；</w:t>
      </w:r>
    </w:p>
    <w:p>
      <w:pPr>
        <w:pStyle w:val="16"/>
        <w:tabs>
          <w:tab w:val="left" w:pos="1014"/>
        </w:tabs>
        <w:spacing w:after="40"/>
        <w:rPr>
          <w:color w:val="000000"/>
          <w:sz w:val="21"/>
          <w:szCs w:val="21"/>
          <w:lang w:eastAsia="zh-CN"/>
        </w:rPr>
      </w:pPr>
      <w:bookmarkStart w:id="16" w:name="bookmark39"/>
      <w:bookmarkEnd w:id="16"/>
      <w:r>
        <w:rPr>
          <w:color w:val="000000"/>
          <w:sz w:val="21"/>
          <w:szCs w:val="21"/>
          <w:lang w:eastAsia="zh-CN"/>
        </w:rPr>
        <w:t>（7）了解各种先进制造模式，掌握智能制造系统的基本概念、系统构成以及制造自动 化系统、制造信息系统的基本知识；</w:t>
      </w:r>
    </w:p>
    <w:p>
      <w:pPr>
        <w:pStyle w:val="16"/>
        <w:tabs>
          <w:tab w:val="left" w:pos="1014"/>
        </w:tabs>
        <w:spacing w:after="40"/>
        <w:ind w:left="440" w:firstLine="0"/>
        <w:rPr>
          <w:color w:val="000000"/>
          <w:sz w:val="21"/>
          <w:szCs w:val="21"/>
          <w:lang w:eastAsia="zh-CN"/>
        </w:rPr>
      </w:pPr>
      <w:bookmarkStart w:id="17" w:name="bookmark40"/>
      <w:bookmarkEnd w:id="17"/>
      <w:r>
        <w:rPr>
          <w:color w:val="000000"/>
          <w:sz w:val="21"/>
          <w:szCs w:val="21"/>
          <w:lang w:eastAsia="zh-CN"/>
        </w:rPr>
        <w:t>（8）了解机电设备安装调试、维护维修相关国家标准与安全规范。</w:t>
      </w:r>
    </w:p>
    <w:p>
      <w:pPr>
        <w:spacing w:line="360" w:lineRule="auto"/>
        <w:rPr>
          <w:rFonts w:ascii="宋体" w:hAnsi="宋体" w:eastAsia="宋体" w:cs="宋体"/>
          <w:color w:val="000000"/>
          <w:szCs w:val="21"/>
          <w:lang w:bidi="zh-TW"/>
        </w:rPr>
      </w:pPr>
      <w:r>
        <w:rPr>
          <w:rFonts w:hint="eastAsia" w:ascii="宋体" w:hAnsi="宋体" w:eastAsia="宋体" w:cs="宋体"/>
          <w:color w:val="000000"/>
          <w:szCs w:val="21"/>
          <w:lang w:bidi="zh-TW"/>
        </w:rPr>
        <w:t xml:space="preserve">3. </w:t>
      </w:r>
      <w:r>
        <w:rPr>
          <w:rFonts w:ascii="宋体" w:hAnsi="宋体" w:eastAsia="宋体" w:cs="宋体"/>
          <w:color w:val="000000"/>
          <w:szCs w:val="21"/>
          <w:lang w:bidi="zh-TW"/>
        </w:rPr>
        <w:t>能力</w:t>
      </w:r>
    </w:p>
    <w:p>
      <w:pPr>
        <w:spacing w:line="360" w:lineRule="auto"/>
        <w:rPr>
          <w:rFonts w:ascii="宋体" w:hAnsi="宋体" w:eastAsia="宋体" w:cs="宋体"/>
          <w:color w:val="000000"/>
          <w:szCs w:val="21"/>
          <w:lang w:bidi="zh-TW"/>
        </w:rPr>
      </w:pPr>
      <w:r>
        <w:rPr>
          <w:rFonts w:hint="eastAsia" w:ascii="宋体" w:hAnsi="宋体" w:eastAsia="宋体" w:cs="宋体"/>
          <w:color w:val="000000"/>
          <w:szCs w:val="21"/>
          <w:lang w:bidi="zh-TW"/>
        </w:rPr>
        <w:t>（1）通用</w:t>
      </w:r>
      <w:r>
        <w:rPr>
          <w:rFonts w:ascii="宋体" w:hAnsi="宋体" w:eastAsia="宋体" w:cs="宋体"/>
          <w:color w:val="000000"/>
          <w:szCs w:val="21"/>
          <w:lang w:bidi="zh-TW"/>
        </w:rPr>
        <w:t>能力</w:t>
      </w:r>
    </w:p>
    <w:p>
      <w:pPr>
        <w:numPr>
          <w:ilvl w:val="0"/>
          <w:numId w:val="1"/>
        </w:numPr>
        <w:spacing w:line="360" w:lineRule="auto"/>
        <w:ind w:left="420"/>
        <w:rPr>
          <w:rFonts w:ascii="宋体" w:hAnsi="宋体" w:eastAsia="宋体" w:cs="宋体"/>
          <w:color w:val="000000"/>
          <w:szCs w:val="21"/>
          <w:lang w:bidi="zh-TW"/>
        </w:rPr>
      </w:pPr>
      <w:r>
        <w:rPr>
          <w:rFonts w:hint="eastAsia" w:ascii="宋体" w:hAnsi="宋体" w:eastAsia="宋体" w:cs="宋体"/>
          <w:color w:val="000000"/>
          <w:szCs w:val="21"/>
          <w:lang w:bidi="zh-TW"/>
        </w:rPr>
        <w:t>具有探究学习、终身学习、分析问题和解决问题的能力</w:t>
      </w:r>
      <w:r>
        <w:rPr>
          <w:rFonts w:ascii="宋体" w:hAnsi="宋体" w:eastAsia="宋体" w:cs="宋体"/>
          <w:color w:val="000000"/>
          <w:szCs w:val="21"/>
          <w:lang w:bidi="zh-TW"/>
        </w:rPr>
        <w:t>；</w:t>
      </w:r>
    </w:p>
    <w:p>
      <w:pPr>
        <w:numPr>
          <w:ilvl w:val="0"/>
          <w:numId w:val="1"/>
        </w:numPr>
        <w:spacing w:line="360" w:lineRule="auto"/>
        <w:ind w:left="420"/>
        <w:rPr>
          <w:rFonts w:ascii="宋体" w:hAnsi="宋体" w:eastAsia="宋体" w:cs="宋体"/>
          <w:color w:val="000000"/>
          <w:szCs w:val="21"/>
          <w:lang w:bidi="zh-TW"/>
        </w:rPr>
      </w:pPr>
      <w:r>
        <w:rPr>
          <w:rFonts w:ascii="宋体" w:hAnsi="宋体" w:eastAsia="宋体" w:cs="宋体"/>
          <w:color w:val="000000"/>
          <w:szCs w:val="21"/>
          <w:lang w:bidi="zh-TW"/>
        </w:rPr>
        <w:t>具有良好的职业道德、科学态度、身心素质；</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3）</w:t>
      </w:r>
      <w:r>
        <w:rPr>
          <w:rFonts w:hint="eastAsia" w:ascii="宋体" w:hAnsi="宋体" w:eastAsia="宋体" w:cs="宋体"/>
          <w:color w:val="000000"/>
          <w:szCs w:val="21"/>
          <w:lang w:bidi="zh-TW"/>
        </w:rPr>
        <w:t>具有良好的语言、文字表达能力和沟通能力</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4）</w:t>
      </w:r>
      <w:r>
        <w:rPr>
          <w:rFonts w:hint="eastAsia" w:ascii="宋体" w:hAnsi="宋体" w:eastAsia="宋体" w:cs="宋体"/>
          <w:color w:val="000000"/>
          <w:szCs w:val="21"/>
          <w:lang w:bidi="zh-TW"/>
        </w:rPr>
        <w:t>具有本专业必需的信息技术应用和维护能力</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5）具有工作中的安全、健康保护能力及环保意识；</w:t>
      </w:r>
    </w:p>
    <w:p>
      <w:pPr>
        <w:spacing w:line="360" w:lineRule="auto"/>
        <w:rPr>
          <w:rFonts w:ascii="宋体" w:hAnsi="宋体" w:eastAsia="宋体" w:cs="宋体"/>
          <w:color w:val="000000"/>
          <w:szCs w:val="21"/>
          <w:lang w:bidi="zh-TW"/>
        </w:rPr>
      </w:pPr>
      <w:r>
        <w:rPr>
          <w:rFonts w:hint="eastAsia" w:ascii="宋体" w:hAnsi="宋体" w:eastAsia="宋体" w:cs="宋体"/>
          <w:color w:val="000000"/>
          <w:szCs w:val="21"/>
          <w:lang w:bidi="zh-TW"/>
        </w:rPr>
        <w:t>（2）专业</w:t>
      </w:r>
      <w:r>
        <w:rPr>
          <w:rFonts w:ascii="宋体" w:hAnsi="宋体" w:eastAsia="宋体" w:cs="宋体"/>
          <w:color w:val="000000"/>
          <w:szCs w:val="21"/>
          <w:lang w:bidi="zh-TW"/>
        </w:rPr>
        <w:t>能力</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1）能够了解客户需求及有关设备标准要求，具有沟通与信息获取能力，能与相关部门协调与信息交流；</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2）具有机电一体化设备、自动化生产线维护维修的能力，能解决生产现场设备维修技术问题；</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3）具有机电一体化设备安装、调试及操作加工的能力；</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4）</w:t>
      </w:r>
      <w:r>
        <w:rPr>
          <w:rFonts w:hint="eastAsia" w:ascii="宋体" w:hAnsi="宋体" w:eastAsia="宋体" w:cs="宋体"/>
          <w:color w:val="000000"/>
          <w:szCs w:val="21"/>
          <w:lang w:bidi="zh-TW"/>
        </w:rPr>
        <w:t>能进行机电一体化设备故障诊断和维修</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bookmarkStart w:id="18" w:name="bookmark47"/>
      <w:bookmarkEnd w:id="18"/>
      <w:r>
        <w:rPr>
          <w:rFonts w:ascii="宋体" w:hAnsi="宋体" w:eastAsia="宋体" w:cs="宋体"/>
          <w:color w:val="000000"/>
          <w:szCs w:val="21"/>
          <w:lang w:bidi="zh-TW"/>
        </w:rPr>
        <w:t>5）</w:t>
      </w:r>
      <w:r>
        <w:rPr>
          <w:rFonts w:hint="eastAsia" w:ascii="宋体" w:hAnsi="宋体" w:eastAsia="宋体" w:cs="宋体"/>
          <w:color w:val="000000"/>
          <w:szCs w:val="21"/>
          <w:lang w:bidi="zh-TW"/>
        </w:rPr>
        <w:t>能对自动化生产线、智能制造单元进行运行管理、维护和调试</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6</w:t>
      </w:r>
      <w:r>
        <w:rPr>
          <w:rFonts w:hint="eastAsia" w:ascii="宋体" w:hAnsi="宋体" w:eastAsia="宋体" w:cs="宋体"/>
          <w:color w:val="000000"/>
          <w:szCs w:val="21"/>
          <w:lang w:bidi="zh-TW"/>
        </w:rPr>
        <w:t>）具有一般机电产品及零件设计与辅助的初步开发能力；</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7</w:t>
      </w:r>
      <w:r>
        <w:rPr>
          <w:rFonts w:hint="eastAsia" w:ascii="宋体" w:hAnsi="宋体" w:eastAsia="宋体" w:cs="宋体"/>
          <w:color w:val="000000"/>
          <w:szCs w:val="21"/>
          <w:lang w:bidi="zh-TW"/>
        </w:rPr>
        <w:t>）具有机电一体化设备管理能力和营销、售后服务能力；</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8</w:t>
      </w:r>
      <w:r>
        <w:rPr>
          <w:rFonts w:hint="eastAsia" w:ascii="宋体" w:hAnsi="宋体" w:eastAsia="宋体" w:cs="宋体"/>
          <w:color w:val="000000"/>
          <w:szCs w:val="21"/>
          <w:lang w:bidi="zh-TW"/>
        </w:rPr>
        <w:t>）具有较强的计算机和外语的应用能力；</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9</w:t>
      </w:r>
      <w:r>
        <w:rPr>
          <w:rFonts w:hint="eastAsia" w:ascii="宋体" w:hAnsi="宋体" w:eastAsia="宋体" w:cs="宋体"/>
          <w:color w:val="000000"/>
          <w:szCs w:val="21"/>
          <w:lang w:bidi="zh-TW"/>
        </w:rPr>
        <w:t>）具有一定的社交能力和团体协作能力；</w:t>
      </w:r>
    </w:p>
    <w:p>
      <w:pPr>
        <w:spacing w:line="360" w:lineRule="auto"/>
        <w:ind w:firstLine="420"/>
        <w:rPr>
          <w:rFonts w:ascii="宋体" w:hAnsi="宋体" w:eastAsia="宋体" w:cs="宋体"/>
          <w:color w:val="000000"/>
          <w:szCs w:val="21"/>
          <w:lang w:bidi="zh-TW"/>
        </w:rPr>
      </w:pPr>
      <w:r>
        <w:rPr>
          <w:rFonts w:ascii="宋体" w:hAnsi="宋体" w:eastAsia="宋体" w:cs="宋体"/>
          <w:color w:val="000000"/>
          <w:szCs w:val="21"/>
          <w:lang w:bidi="zh-TW"/>
        </w:rPr>
        <w:t>10</w:t>
      </w:r>
      <w:r>
        <w:rPr>
          <w:rFonts w:hint="eastAsia" w:ascii="宋体" w:hAnsi="宋体" w:eastAsia="宋体" w:cs="宋体"/>
          <w:color w:val="000000"/>
          <w:szCs w:val="21"/>
          <w:lang w:bidi="zh-TW"/>
        </w:rPr>
        <w:t>）具有较强的口头与书面表达能力，具备初步的科学研究能力。</w:t>
      </w:r>
      <w:bookmarkStart w:id="19" w:name="bookmark46"/>
      <w:bookmarkEnd w:id="19"/>
    </w:p>
    <w:p>
      <w:pPr>
        <w:spacing w:line="360" w:lineRule="auto"/>
        <w:rPr>
          <w:rFonts w:ascii="宋体" w:hAnsi="宋体" w:eastAsia="宋体" w:cs="宋体"/>
          <w:color w:val="000000"/>
          <w:szCs w:val="21"/>
          <w:lang w:bidi="zh-TW"/>
        </w:rPr>
      </w:pPr>
      <w:r>
        <w:rPr>
          <w:rFonts w:hint="eastAsia" w:ascii="宋体" w:hAnsi="宋体" w:eastAsia="宋体" w:cs="宋体"/>
          <w:color w:val="000000"/>
          <w:szCs w:val="21"/>
          <w:lang w:bidi="zh-TW"/>
        </w:rPr>
        <w:t>（3）方法</w:t>
      </w:r>
      <w:r>
        <w:rPr>
          <w:rFonts w:ascii="宋体" w:hAnsi="宋体" w:eastAsia="宋体" w:cs="宋体"/>
          <w:color w:val="000000"/>
          <w:szCs w:val="21"/>
          <w:lang w:bidi="zh-TW"/>
        </w:rPr>
        <w:t>能力</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w:t>
      </w:r>
      <w:r>
        <w:rPr>
          <w:rFonts w:ascii="宋体" w:hAnsi="宋体" w:eastAsia="宋体" w:cs="宋体"/>
          <w:color w:val="000000"/>
          <w:szCs w:val="21"/>
          <w:lang w:bidi="zh-TW"/>
        </w:rPr>
        <w:t>具有</w:t>
      </w:r>
      <w:r>
        <w:rPr>
          <w:rFonts w:hint="eastAsia" w:ascii="宋体" w:hAnsi="宋体" w:eastAsia="宋体" w:cs="宋体"/>
          <w:color w:val="000000"/>
          <w:szCs w:val="21"/>
          <w:lang w:bidi="zh-TW"/>
        </w:rPr>
        <w:t>独立思考、逻辑推理、信息加工能力</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w:t>
      </w:r>
      <w:r>
        <w:rPr>
          <w:rFonts w:ascii="宋体" w:hAnsi="宋体" w:eastAsia="宋体" w:cs="宋体"/>
          <w:color w:val="000000"/>
          <w:szCs w:val="21"/>
          <w:lang w:bidi="zh-TW"/>
        </w:rPr>
        <w:t>具有对知识的抽象、概括及判断能力</w:t>
      </w:r>
      <w:r>
        <w:rPr>
          <w:rFonts w:hint="eastAsia" w:ascii="宋体" w:hAnsi="宋体" w:eastAsia="宋体" w:cs="宋体"/>
          <w:color w:val="000000"/>
          <w:szCs w:val="21"/>
          <w:lang w:bidi="zh-TW"/>
        </w:rPr>
        <w:t>，语言表达和文字写作能力，</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w:t>
      </w:r>
      <w:r>
        <w:rPr>
          <w:rFonts w:ascii="宋体" w:hAnsi="宋体" w:eastAsia="宋体" w:cs="宋体"/>
          <w:color w:val="000000"/>
          <w:szCs w:val="21"/>
          <w:lang w:bidi="zh-TW"/>
        </w:rPr>
        <w:t>具有科学分析和解决问题的能力；</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4）</w:t>
      </w:r>
      <w:r>
        <w:rPr>
          <w:rFonts w:ascii="宋体" w:hAnsi="宋体" w:eastAsia="宋体" w:cs="宋体"/>
          <w:color w:val="000000"/>
          <w:szCs w:val="21"/>
          <w:lang w:bidi="zh-TW"/>
        </w:rPr>
        <w:t>具有</w:t>
      </w:r>
      <w:r>
        <w:rPr>
          <w:rFonts w:hint="eastAsia" w:ascii="宋体" w:hAnsi="宋体" w:eastAsia="宋体" w:cs="宋体"/>
          <w:color w:val="000000"/>
          <w:szCs w:val="21"/>
          <w:lang w:bidi="zh-TW"/>
        </w:rPr>
        <w:t>终身学习的意识和能力，自我管理能力，与他人合作的能力</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5）创新思维和创新创造能力，动手实践和解决实际问题的能力等。</w:t>
      </w:r>
    </w:p>
    <w:p>
      <w:pPr>
        <w:spacing w:line="360" w:lineRule="auto"/>
        <w:rPr>
          <w:rFonts w:ascii="宋体" w:hAnsi="宋体" w:eastAsia="宋体" w:cs="宋体"/>
          <w:color w:val="000000"/>
          <w:szCs w:val="21"/>
          <w:lang w:bidi="zh-TW"/>
        </w:rPr>
      </w:pPr>
      <w:r>
        <w:rPr>
          <w:rFonts w:hint="eastAsia" w:ascii="宋体" w:hAnsi="宋体" w:eastAsia="宋体" w:cs="宋体"/>
          <w:color w:val="000000"/>
          <w:szCs w:val="21"/>
          <w:lang w:bidi="zh-TW"/>
        </w:rPr>
        <w:t>（4）拓展</w:t>
      </w:r>
      <w:r>
        <w:rPr>
          <w:rFonts w:ascii="宋体" w:hAnsi="宋体" w:eastAsia="宋体" w:cs="宋体"/>
          <w:color w:val="000000"/>
          <w:szCs w:val="21"/>
          <w:lang w:bidi="zh-TW"/>
        </w:rPr>
        <w:t>能力</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1）了解掌握单片机工作原理和控制过程，并能解决实际问题</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2）具有</w:t>
      </w:r>
      <w:r>
        <w:rPr>
          <w:rFonts w:ascii="宋体" w:hAnsi="宋体" w:eastAsia="宋体" w:cs="宋体"/>
          <w:color w:val="000000"/>
          <w:szCs w:val="21"/>
          <w:lang w:bidi="zh-TW"/>
        </w:rPr>
        <w:t>现代企业</w:t>
      </w:r>
      <w:r>
        <w:rPr>
          <w:rFonts w:hint="eastAsia" w:ascii="宋体" w:hAnsi="宋体" w:eastAsia="宋体" w:cs="宋体"/>
          <w:color w:val="000000"/>
          <w:szCs w:val="21"/>
          <w:lang w:bidi="zh-TW"/>
        </w:rPr>
        <w:t>管理</w:t>
      </w:r>
      <w:r>
        <w:rPr>
          <w:rFonts w:ascii="宋体" w:hAnsi="宋体" w:eastAsia="宋体" w:cs="宋体"/>
          <w:color w:val="000000"/>
          <w:szCs w:val="21"/>
          <w:lang w:bidi="zh-TW"/>
        </w:rPr>
        <w:t>的基本战略</w:t>
      </w:r>
      <w:r>
        <w:rPr>
          <w:rFonts w:hint="eastAsia" w:ascii="宋体" w:hAnsi="宋体" w:eastAsia="宋体" w:cs="宋体"/>
          <w:color w:val="000000"/>
          <w:szCs w:val="21"/>
          <w:lang w:bidi="zh-TW"/>
        </w:rPr>
        <w:t>、</w:t>
      </w:r>
      <w:r>
        <w:rPr>
          <w:rFonts w:ascii="宋体" w:hAnsi="宋体" w:eastAsia="宋体" w:cs="宋体"/>
          <w:color w:val="000000"/>
          <w:szCs w:val="21"/>
          <w:lang w:bidi="zh-TW"/>
        </w:rPr>
        <w:t>质量管理</w:t>
      </w:r>
      <w:r>
        <w:rPr>
          <w:rFonts w:hint="eastAsia" w:ascii="宋体" w:hAnsi="宋体" w:eastAsia="宋体" w:cs="宋体"/>
          <w:color w:val="000000"/>
          <w:szCs w:val="21"/>
          <w:lang w:bidi="zh-TW"/>
        </w:rPr>
        <w:t>和</w:t>
      </w:r>
      <w:r>
        <w:rPr>
          <w:rFonts w:ascii="宋体" w:hAnsi="宋体" w:eastAsia="宋体" w:cs="宋体"/>
          <w:color w:val="000000"/>
          <w:szCs w:val="21"/>
          <w:lang w:bidi="zh-TW"/>
        </w:rPr>
        <w:t>市场需求</w:t>
      </w:r>
      <w:r>
        <w:rPr>
          <w:rFonts w:hint="eastAsia" w:ascii="宋体" w:hAnsi="宋体" w:eastAsia="宋体" w:cs="宋体"/>
          <w:color w:val="000000"/>
          <w:szCs w:val="21"/>
          <w:lang w:bidi="zh-TW"/>
        </w:rPr>
        <w:t>分析</w:t>
      </w:r>
      <w:r>
        <w:rPr>
          <w:rFonts w:ascii="宋体" w:hAnsi="宋体" w:eastAsia="宋体" w:cs="宋体"/>
          <w:color w:val="000000"/>
          <w:szCs w:val="21"/>
          <w:lang w:bidi="zh-TW"/>
        </w:rPr>
        <w:t>、市场营销的能力；</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3）对智能制造、工业机器人技术有基本认知，掌握示教方法和基本操作</w:t>
      </w:r>
      <w:r>
        <w:rPr>
          <w:rFonts w:ascii="宋体" w:hAnsi="宋体" w:eastAsia="宋体" w:cs="宋体"/>
          <w:color w:val="000000"/>
          <w:szCs w:val="21"/>
          <w:lang w:bidi="zh-TW"/>
        </w:rPr>
        <w:t>；</w:t>
      </w:r>
    </w:p>
    <w:p>
      <w:pPr>
        <w:spacing w:line="360" w:lineRule="auto"/>
        <w:ind w:firstLine="420"/>
        <w:rPr>
          <w:rFonts w:ascii="宋体" w:hAnsi="宋体" w:eastAsia="宋体" w:cs="宋体"/>
          <w:color w:val="000000"/>
          <w:szCs w:val="21"/>
          <w:lang w:bidi="zh-TW"/>
        </w:rPr>
      </w:pPr>
      <w:r>
        <w:rPr>
          <w:rFonts w:hint="eastAsia" w:ascii="宋体" w:hAnsi="宋体" w:eastAsia="宋体" w:cs="宋体"/>
          <w:color w:val="000000"/>
          <w:szCs w:val="21"/>
          <w:lang w:bidi="zh-TW"/>
        </w:rPr>
        <w:t>4）能</w:t>
      </w:r>
      <w:r>
        <w:rPr>
          <w:rFonts w:ascii="宋体" w:hAnsi="宋体" w:eastAsia="宋体" w:cs="宋体"/>
          <w:color w:val="000000"/>
          <w:szCs w:val="21"/>
          <w:lang w:bidi="zh-TW"/>
        </w:rPr>
        <w:t>利用所</w:t>
      </w:r>
      <w:r>
        <w:rPr>
          <w:rFonts w:hint="eastAsia" w:ascii="宋体" w:hAnsi="宋体" w:eastAsia="宋体" w:cs="宋体"/>
          <w:color w:val="000000"/>
          <w:szCs w:val="21"/>
          <w:lang w:bidi="zh-TW"/>
        </w:rPr>
        <w:t>学知识</w:t>
      </w:r>
      <w:r>
        <w:rPr>
          <w:rFonts w:ascii="宋体" w:hAnsi="宋体" w:eastAsia="宋体" w:cs="宋体"/>
          <w:color w:val="000000"/>
          <w:szCs w:val="21"/>
          <w:lang w:bidi="zh-TW"/>
        </w:rPr>
        <w:t>和技能做出产品更新、提出新的想法和</w:t>
      </w:r>
      <w:r>
        <w:rPr>
          <w:rFonts w:hint="eastAsia" w:ascii="宋体" w:hAnsi="宋体" w:eastAsia="宋体" w:cs="宋体"/>
          <w:color w:val="000000"/>
          <w:szCs w:val="21"/>
          <w:lang w:bidi="zh-TW"/>
        </w:rPr>
        <w:t>实施方案</w:t>
      </w:r>
      <w:r>
        <w:rPr>
          <w:rFonts w:ascii="宋体" w:hAnsi="宋体" w:eastAsia="宋体" w:cs="宋体"/>
          <w:color w:val="000000"/>
          <w:szCs w:val="21"/>
          <w:lang w:bidi="zh-TW"/>
        </w:rPr>
        <w:t>。</w:t>
      </w:r>
    </w:p>
    <w:p>
      <w:pPr>
        <w:keepNext/>
        <w:keepLines/>
        <w:spacing w:before="156" w:beforeLines="50" w:after="156" w:afterLines="50" w:line="300" w:lineRule="auto"/>
        <w:outlineLvl w:val="1"/>
        <w:rPr>
          <w:rFonts w:ascii="黑体" w:hAnsi="黑体" w:eastAsia="黑体"/>
          <w:b/>
        </w:rPr>
      </w:pPr>
      <w:bookmarkStart w:id="20" w:name="_Toc105704413"/>
      <w:r>
        <w:rPr>
          <w:rFonts w:hint="eastAsia" w:ascii="黑体" w:hAnsi="黑体" w:eastAsia="黑体"/>
          <w:b/>
        </w:rPr>
        <w:t>六、课程设置和要求</w:t>
      </w:r>
      <w:bookmarkEnd w:id="20"/>
    </w:p>
    <w:p>
      <w:pPr>
        <w:spacing w:line="360" w:lineRule="auto"/>
        <w:ind w:firstLine="420"/>
        <w:rPr>
          <w:rFonts w:ascii="宋体" w:hAnsi="宋体" w:eastAsia="宋体"/>
          <w:szCs w:val="21"/>
        </w:rPr>
      </w:pPr>
      <w:r>
        <w:rPr>
          <w:rFonts w:hint="eastAsia" w:ascii="宋体" w:hAnsi="宋体" w:eastAsia="宋体" w:cs="Times New Roman"/>
          <w:szCs w:val="21"/>
        </w:rPr>
        <w:t>主要包括公共基础必修和专业必修。</w:t>
      </w:r>
    </w:p>
    <w:p>
      <w:pPr>
        <w:overflowPunct w:val="0"/>
        <w:adjustRightInd w:val="0"/>
        <w:spacing w:line="360" w:lineRule="auto"/>
        <w:ind w:firstLine="422" w:firstLineChars="200"/>
        <w:outlineLvl w:val="0"/>
        <w:rPr>
          <w:rFonts w:ascii="宋体" w:hAnsi="宋体" w:eastAsia="宋体" w:cs="Times New Roman"/>
          <w:b/>
          <w:szCs w:val="21"/>
        </w:rPr>
      </w:pPr>
      <w:bookmarkStart w:id="21" w:name="_Toc105704414"/>
      <w:r>
        <w:rPr>
          <w:rFonts w:ascii="宋体" w:hAnsi="宋体" w:eastAsia="宋体" w:cs="Times New Roman"/>
          <w:b/>
          <w:szCs w:val="21"/>
        </w:rPr>
        <w:t>（一）</w:t>
      </w:r>
      <w:r>
        <w:rPr>
          <w:rFonts w:hint="eastAsia" w:ascii="宋体" w:hAnsi="宋体" w:eastAsia="宋体" w:cs="Times New Roman"/>
          <w:b/>
          <w:szCs w:val="21"/>
        </w:rPr>
        <w:t>公共</w:t>
      </w:r>
      <w:r>
        <w:rPr>
          <w:rFonts w:ascii="宋体" w:hAnsi="宋体" w:eastAsia="宋体" w:cs="Times New Roman"/>
          <w:b/>
          <w:szCs w:val="21"/>
        </w:rPr>
        <w:t>基础</w:t>
      </w:r>
      <w:r>
        <w:rPr>
          <w:rFonts w:hint="eastAsia" w:ascii="宋体" w:hAnsi="宋体" w:eastAsia="宋体" w:cs="Times New Roman"/>
          <w:b/>
          <w:szCs w:val="21"/>
          <w:lang w:eastAsia="zh-Hans"/>
        </w:rPr>
        <w:t>必修</w:t>
      </w:r>
      <w:bookmarkEnd w:id="21"/>
    </w:p>
    <w:p>
      <w:pPr>
        <w:spacing w:line="36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在专业课程教学过程中坚持知识传授、能力培养、思想政治与人文素质培育同时进行，应该是高等教育中人才培养实施的基本要求。机电一体化技术专业主要服务智能制造、安装、调试等工作，要求较高的基础知识和吃苦耐劳的工作作风，作为高素质高技能的人才必须具备良好的职业道德、作风素质。</w:t>
      </w:r>
    </w:p>
    <w:p>
      <w:pPr>
        <w:spacing w:line="36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因此，机电一体化技术专业将思想政治理论课、体育、军事理论与训练、大学生职业生涯规划与职业指导、心理健康教育、计算机应用基础等课程列入公共基础必修课程，同时将马克思主义理论类课程、大学语文、高等数学、实用英语、创业创新教育、心理健康教育、职业素养等列为必修课。并通过开展课程思政工作，将人才的思想政治工作作为长效机制进行推行。</w:t>
      </w:r>
    </w:p>
    <w:p>
      <w:pPr>
        <w:overflowPunct w:val="0"/>
        <w:adjustRightInd w:val="0"/>
        <w:spacing w:line="360" w:lineRule="auto"/>
        <w:ind w:firstLine="422" w:firstLineChars="200"/>
        <w:rPr>
          <w:rFonts w:ascii="宋体" w:hAnsi="宋体" w:eastAsia="宋体" w:cs="Times New Roman"/>
          <w:b/>
          <w:color w:val="0D0D0D" w:themeColor="text1" w:themeTint="F2"/>
          <w:szCs w:val="21"/>
          <w14:textFill>
            <w14:solidFill>
              <w14:schemeClr w14:val="tx1">
                <w14:lumMod w14:val="95000"/>
                <w14:lumOff w14:val="5000"/>
              </w14:schemeClr>
            </w14:solidFill>
          </w14:textFill>
        </w:rPr>
      </w:pPr>
      <w:bookmarkStart w:id="22" w:name="_Toc42112255"/>
      <w:r>
        <w:rPr>
          <w:rFonts w:ascii="宋体" w:hAnsi="宋体" w:eastAsia="宋体" w:cs="Times New Roman"/>
          <w:b/>
          <w:color w:val="0D0D0D" w:themeColor="text1" w:themeTint="F2"/>
          <w:szCs w:val="21"/>
          <w14:textFill>
            <w14:solidFill>
              <w14:schemeClr w14:val="tx1">
                <w14:lumMod w14:val="95000"/>
                <w14:lumOff w14:val="5000"/>
              </w14:schemeClr>
            </w14:solidFill>
          </w14:textFill>
        </w:rPr>
        <w:t>（二）</w:t>
      </w:r>
      <w:r>
        <w:rPr>
          <w:rFonts w:hint="eastAsia" w:ascii="宋体" w:hAnsi="宋体" w:eastAsia="宋体" w:cs="Times New Roman"/>
          <w:b/>
          <w:color w:val="0D0D0D" w:themeColor="text1" w:themeTint="F2"/>
          <w:szCs w:val="21"/>
          <w14:textFill>
            <w14:solidFill>
              <w14:schemeClr w14:val="tx1">
                <w14:lumMod w14:val="95000"/>
                <w14:lumOff w14:val="5000"/>
              </w14:schemeClr>
            </w14:solidFill>
          </w14:textFill>
        </w:rPr>
        <w:t>专业</w:t>
      </w:r>
      <w:r>
        <w:rPr>
          <w:rFonts w:ascii="宋体" w:hAnsi="宋体" w:eastAsia="宋体" w:cs="Times New Roman"/>
          <w:b/>
          <w:color w:val="0D0D0D" w:themeColor="text1" w:themeTint="F2"/>
          <w:szCs w:val="21"/>
          <w14:textFill>
            <w14:solidFill>
              <w14:schemeClr w14:val="tx1">
                <w14:lumMod w14:val="95000"/>
                <w14:lumOff w14:val="5000"/>
              </w14:schemeClr>
            </w14:solidFill>
          </w14:textFill>
        </w:rPr>
        <w:t>课程</w:t>
      </w:r>
      <w:bookmarkEnd w:id="22"/>
    </w:p>
    <w:p>
      <w:pPr>
        <w:spacing w:line="300" w:lineRule="auto"/>
        <w:ind w:firstLine="420" w:firstLineChars="200"/>
        <w:rPr>
          <w:rFonts w:ascii="宋体" w:hAnsi="宋体" w:eastAsia="宋体" w:cs="Times New Roman"/>
          <w:color w:val="0D0D0D" w:themeColor="text1" w:themeTint="F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1"/>
          <w:lang w:bidi="zh-TW"/>
          <w14:textFill>
            <w14:solidFill>
              <w14:schemeClr w14:val="tx1">
                <w14:lumMod w14:val="95000"/>
                <w14:lumOff w14:val="5000"/>
              </w14:schemeClr>
            </w14:solidFill>
          </w14:textFill>
        </w:rPr>
        <w:t>专业课</w:t>
      </w:r>
      <w:r>
        <w:rPr>
          <w:rFonts w:hint="eastAsia" w:ascii="宋体" w:hAnsi="宋体" w:eastAsia="宋体" w:cs="Times New Roman"/>
          <w:color w:val="0D0D0D" w:themeColor="text1" w:themeTint="F2"/>
          <w:szCs w:val="21"/>
          <w14:textFill>
            <w14:solidFill>
              <w14:schemeClr w14:val="tx1">
                <w14:lumMod w14:val="95000"/>
                <w14:lumOff w14:val="5000"/>
              </w14:schemeClr>
            </w14:solidFill>
          </w14:textFill>
        </w:rPr>
        <w:t>程包括专业基础和专业核心课程</w:t>
      </w:r>
    </w:p>
    <w:p>
      <w:pPr>
        <w:spacing w:line="300" w:lineRule="auto"/>
        <w:ind w:firstLine="420" w:firstLineChars="200"/>
        <w:rPr>
          <w:rFonts w:ascii="宋体" w:hAnsi="宋体" w:eastAsia="宋体" w:cs="Times New Roman"/>
          <w:color w:val="0D0D0D" w:themeColor="text1" w:themeTint="F2"/>
          <w:szCs w:val="21"/>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Cs w:val="21"/>
          <w14:textFill>
            <w14:solidFill>
              <w14:schemeClr w14:val="tx1">
                <w14:lumMod w14:val="95000"/>
                <w14:lumOff w14:val="5000"/>
              </w14:schemeClr>
            </w14:solidFill>
          </w14:textFill>
        </w:rPr>
        <w:t>（1）专业基础课程</w:t>
      </w:r>
    </w:p>
    <w:p>
      <w:pPr>
        <w:spacing w:line="300" w:lineRule="auto"/>
        <w:ind w:firstLine="420" w:firstLineChars="200"/>
        <w:rPr>
          <w:rFonts w:ascii="宋体" w:hAnsi="宋体" w:eastAsia="宋体" w:cs="Times New Roman"/>
          <w:color w:val="0D0D0D" w:themeColor="text1" w:themeTint="F2"/>
          <w:szCs w:val="21"/>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Cs w:val="21"/>
          <w14:textFill>
            <w14:solidFill>
              <w14:schemeClr w14:val="tx1">
                <w14:lumMod w14:val="95000"/>
                <w14:lumOff w14:val="5000"/>
              </w14:schemeClr>
            </w14:solidFill>
          </w14:textFill>
        </w:rPr>
        <w:t>专业基础课主要有：工程制图与测绘，技术机械与设计，电工基础I、Ⅱ，信息技术I、Ⅱ，电子元件，模拟电路原理与应用，数字技术与应用，专业英语等课程。</w:t>
      </w:r>
    </w:p>
    <w:p>
      <w:pPr>
        <w:spacing w:line="300" w:lineRule="auto"/>
        <w:ind w:firstLine="420" w:firstLineChars="200"/>
        <w:rPr>
          <w:rFonts w:ascii="宋体" w:hAnsi="宋体" w:eastAsia="宋体" w:cs="Times New Roman"/>
          <w:color w:val="0D0D0D" w:themeColor="text1" w:themeTint="F2"/>
          <w:szCs w:val="21"/>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Cs w:val="21"/>
          <w14:textFill>
            <w14:solidFill>
              <w14:schemeClr w14:val="tx1">
                <w14:lumMod w14:val="95000"/>
                <w14:lumOff w14:val="5000"/>
              </w14:schemeClr>
            </w14:solidFill>
          </w14:textFill>
        </w:rPr>
        <w:t>（2）专业核心课程</w:t>
      </w:r>
    </w:p>
    <w:p>
      <w:pPr>
        <w:spacing w:line="300" w:lineRule="auto"/>
        <w:ind w:firstLine="420" w:firstLineChars="200"/>
        <w:rPr>
          <w:rFonts w:ascii="宋体" w:hAnsi="宋体" w:eastAsia="宋体" w:cs="宋体"/>
          <w:color w:val="0D0D0D" w:themeColor="text1" w:themeTint="F2"/>
          <w:szCs w:val="21"/>
          <w:lang w:bidi="zh-TW"/>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Cs w:val="21"/>
          <w14:textFill>
            <w14:solidFill>
              <w14:schemeClr w14:val="tx1">
                <w14:lumMod w14:val="95000"/>
                <w14:lumOff w14:val="5000"/>
              </w14:schemeClr>
            </w14:solidFill>
          </w14:textFill>
        </w:rPr>
        <w:t>专业核心课程有：技术机械与设计、PLC及气液控制技术、电机与驱动技术、机电一体化系统、自动化技</w:t>
      </w:r>
      <w:r>
        <w:rPr>
          <w:rFonts w:hint="eastAsia" w:ascii="宋体" w:hAnsi="宋体" w:eastAsia="宋体" w:cs="宋体"/>
          <w:color w:val="0D0D0D" w:themeColor="text1" w:themeTint="F2"/>
          <w:szCs w:val="21"/>
          <w:lang w:bidi="zh-TW"/>
          <w14:textFill>
            <w14:solidFill>
              <w14:schemeClr w14:val="tx1">
                <w14:lumMod w14:val="95000"/>
                <w14:lumOff w14:val="5000"/>
              </w14:schemeClr>
            </w14:solidFill>
          </w14:textFill>
        </w:rPr>
        <w:t>术等课程。</w:t>
      </w:r>
    </w:p>
    <w:p>
      <w:pPr>
        <w:overflowPunct w:val="0"/>
        <w:adjustRightInd w:val="0"/>
        <w:spacing w:line="360" w:lineRule="auto"/>
        <w:ind w:firstLine="422" w:firstLineChars="200"/>
        <w:rPr>
          <w:rFonts w:ascii="宋体" w:hAnsi="宋体" w:eastAsia="宋体" w:cs="Times New Roman"/>
          <w:b/>
          <w:color w:val="0D0D0D" w:themeColor="text1" w:themeTint="F2"/>
          <w:szCs w:val="21"/>
          <w14:textFill>
            <w14:solidFill>
              <w14:schemeClr w14:val="tx1">
                <w14:lumMod w14:val="95000"/>
                <w14:lumOff w14:val="5000"/>
              </w14:schemeClr>
            </w14:solidFill>
          </w14:textFill>
        </w:rPr>
      </w:pPr>
      <w:r>
        <w:rPr>
          <w:rFonts w:hint="eastAsia" w:ascii="宋体" w:hAnsi="宋体" w:eastAsia="宋体" w:cs="Times New Roman"/>
          <w:b/>
          <w:color w:val="0D0D0D" w:themeColor="text1" w:themeTint="F2"/>
          <w:szCs w:val="21"/>
          <w14:textFill>
            <w14:solidFill>
              <w14:schemeClr w14:val="tx1">
                <w14:lumMod w14:val="95000"/>
                <w14:lumOff w14:val="5000"/>
              </w14:schemeClr>
            </w14:solidFill>
          </w14:textFill>
        </w:rPr>
        <w:t>（三）专业选修课程</w:t>
      </w:r>
    </w:p>
    <w:p>
      <w:pPr>
        <w:spacing w:line="300" w:lineRule="auto"/>
        <w:ind w:firstLine="420" w:firstLineChars="200"/>
        <w:rPr>
          <w:rFonts w:ascii="宋体" w:hAnsi="宋体" w:eastAsia="宋体" w:cs="宋体"/>
          <w:color w:val="0D0D0D" w:themeColor="text1" w:themeTint="F2"/>
          <w:szCs w:val="21"/>
          <w:lang w:bidi="zh-TW"/>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1"/>
          <w:lang w:bidi="zh-TW"/>
          <w14:textFill>
            <w14:solidFill>
              <w14:schemeClr w14:val="tx1">
                <w14:lumMod w14:val="95000"/>
                <w14:lumOff w14:val="5000"/>
              </w14:schemeClr>
            </w14:solidFill>
          </w14:textFill>
        </w:rPr>
        <w:t>专业选修课程主</w:t>
      </w:r>
      <w:r>
        <w:rPr>
          <w:rFonts w:hint="eastAsia" w:ascii="宋体" w:hAnsi="宋体" w:eastAsia="宋体" w:cs="Times New Roman"/>
          <w:color w:val="0D0D0D" w:themeColor="text1" w:themeTint="F2"/>
          <w:szCs w:val="21"/>
          <w14:textFill>
            <w14:solidFill>
              <w14:schemeClr w14:val="tx1">
                <w14:lumMod w14:val="95000"/>
                <w14:lumOff w14:val="5000"/>
              </w14:schemeClr>
            </w14:solidFill>
          </w14:textFill>
        </w:rPr>
        <w:t>要有：德语基础I、创业创新教育和项目课程（电路技术+微控制技术）等课</w:t>
      </w:r>
      <w:r>
        <w:rPr>
          <w:rFonts w:hint="eastAsia" w:ascii="宋体" w:hAnsi="宋体" w:eastAsia="宋体" w:cs="宋体"/>
          <w:color w:val="0D0D0D" w:themeColor="text1" w:themeTint="F2"/>
          <w:szCs w:val="21"/>
          <w:lang w:bidi="zh-TW"/>
          <w14:textFill>
            <w14:solidFill>
              <w14:schemeClr w14:val="tx1">
                <w14:lumMod w14:val="95000"/>
                <w14:lumOff w14:val="5000"/>
              </w14:schemeClr>
            </w14:solidFill>
          </w14:textFill>
        </w:rPr>
        <w:t>程。</w:t>
      </w:r>
    </w:p>
    <w:p>
      <w:pPr>
        <w:spacing w:line="300" w:lineRule="auto"/>
        <w:ind w:firstLine="420" w:firstLineChars="200"/>
        <w:rPr>
          <w:rFonts w:ascii="宋体" w:hAnsi="宋体" w:eastAsia="宋体" w:cs="Times New Roman"/>
          <w:color w:val="0D0D0D" w:themeColor="text1" w:themeTint="F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1"/>
          <w:lang w:bidi="zh-TW"/>
          <w14:textFill>
            <w14:solidFill>
              <w14:schemeClr w14:val="tx1">
                <w14:lumMod w14:val="95000"/>
                <w14:lumOff w14:val="5000"/>
              </w14:schemeClr>
            </w14:solidFill>
          </w14:textFill>
        </w:rPr>
        <w:t>专业核心课程主</w:t>
      </w:r>
      <w:r>
        <w:rPr>
          <w:rFonts w:hint="eastAsia" w:ascii="宋体" w:hAnsi="宋体" w:eastAsia="宋体" w:cs="Times New Roman"/>
          <w:color w:val="0D0D0D" w:themeColor="text1" w:themeTint="F2"/>
          <w:szCs w:val="21"/>
          <w14:textFill>
            <w14:solidFill>
              <w14:schemeClr w14:val="tx1">
                <w14:lumMod w14:val="95000"/>
                <w14:lumOff w14:val="5000"/>
              </w14:schemeClr>
            </w14:solidFill>
          </w14:textFill>
        </w:rPr>
        <w:t>要教学内容与要求</w:t>
      </w:r>
    </w:p>
    <w:p>
      <w:pPr>
        <w:spacing w:line="300" w:lineRule="auto"/>
        <w:ind w:firstLine="420" w:firstLineChars="200"/>
        <w:rPr>
          <w:rFonts w:ascii="宋体" w:hAnsi="宋体" w:eastAsia="宋体" w:cs="宋体"/>
          <w:color w:val="0D0D0D" w:themeColor="text1" w:themeTint="F2"/>
          <w:szCs w:val="21"/>
          <w:lang w:bidi="zh-TW"/>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Cs w:val="21"/>
          <w14:textFill>
            <w14:solidFill>
              <w14:schemeClr w14:val="tx1">
                <w14:lumMod w14:val="95000"/>
                <w14:lumOff w14:val="5000"/>
              </w14:schemeClr>
            </w14:solidFill>
          </w14:textFill>
        </w:rPr>
        <w:t>通过对工作任务和职业能力的归并、梳理，提出专业课程与实训项目，确定专业课程设置。要具体说明每一</w:t>
      </w:r>
      <w:r>
        <w:rPr>
          <w:rFonts w:hint="eastAsia" w:ascii="宋体" w:hAnsi="宋体" w:eastAsia="宋体" w:cs="宋体"/>
          <w:color w:val="0D0D0D" w:themeColor="text1" w:themeTint="F2"/>
          <w:szCs w:val="21"/>
          <w:lang w:bidi="zh-TW"/>
          <w14:textFill>
            <w14:solidFill>
              <w14:schemeClr w14:val="tx1">
                <w14:lumMod w14:val="95000"/>
                <w14:lumOff w14:val="5000"/>
              </w14:schemeClr>
            </w14:solidFill>
          </w14:textFill>
        </w:rPr>
        <w:t>门专业（实训）课程的主要教学内容和要求、技能考核项目与要求、以及建议课时数。技能考核项目与要求，应涵盖职业资格证书考核项目和要求，详见表2。</w:t>
      </w:r>
    </w:p>
    <w:p>
      <w:pPr>
        <w:spacing w:line="360" w:lineRule="auto"/>
        <w:ind w:firstLine="422" w:firstLineChars="200"/>
        <w:jc w:val="center"/>
        <w:rPr>
          <w:rFonts w:ascii="宋体" w:hAnsi="宋体" w:eastAsia="宋体" w:cs="宋体"/>
          <w:b/>
          <w:color w:val="0D0D0D" w:themeColor="text1" w:themeTint="F2"/>
          <w:szCs w:val="21"/>
          <w:lang w:bidi="zh-TW"/>
          <w14:textFill>
            <w14:solidFill>
              <w14:schemeClr w14:val="tx1">
                <w14:lumMod w14:val="95000"/>
                <w14:lumOff w14:val="5000"/>
              </w14:schemeClr>
            </w14:solidFill>
          </w14:textFill>
        </w:rPr>
      </w:pPr>
      <w:r>
        <w:rPr>
          <w:rFonts w:hint="eastAsia" w:ascii="宋体" w:hAnsi="宋体" w:eastAsia="宋体" w:cs="宋体"/>
          <w:b/>
          <w:color w:val="0D0D0D" w:themeColor="text1" w:themeTint="F2"/>
          <w:szCs w:val="21"/>
          <w:lang w:bidi="zh-TW"/>
          <w14:textFill>
            <w14:solidFill>
              <w14:schemeClr w14:val="tx1">
                <w14:lumMod w14:val="95000"/>
                <w14:lumOff w14:val="5000"/>
              </w14:schemeClr>
            </w14:solidFill>
          </w14:textFill>
        </w:rPr>
        <w:t>表2 专业核心课程主要教学内容</w:t>
      </w:r>
    </w:p>
    <w:tbl>
      <w:tblPr>
        <w:tblStyle w:val="12"/>
        <w:tblW w:w="8448" w:type="dxa"/>
        <w:jc w:val="center"/>
        <w:tblLayout w:type="fixed"/>
        <w:tblCellMar>
          <w:top w:w="0" w:type="dxa"/>
          <w:left w:w="10" w:type="dxa"/>
          <w:bottom w:w="0" w:type="dxa"/>
          <w:right w:w="10" w:type="dxa"/>
        </w:tblCellMar>
      </w:tblPr>
      <w:tblGrid>
        <w:gridCol w:w="706"/>
        <w:gridCol w:w="1699"/>
        <w:gridCol w:w="6043"/>
      </w:tblGrid>
      <w:tr>
        <w:trPr>
          <w:trHeight w:val="477" w:hRule="exact"/>
          <w:jc w:val="center"/>
        </w:trPr>
        <w:tc>
          <w:tcPr>
            <w:tcW w:w="706" w:type="dxa"/>
            <w:tcBorders>
              <w:top w:val="single" w:color="auto" w:sz="4" w:space="0"/>
              <w:left w:val="nil"/>
              <w:bottom w:val="nil"/>
              <w:right w:val="nil"/>
            </w:tcBorders>
            <w:shd w:val="clear" w:color="auto" w:fill="FFFFFF"/>
            <w:vAlign w:val="center"/>
          </w:tcPr>
          <w:p>
            <w:pPr>
              <w:ind w:firstLine="180"/>
              <w:jc w:val="center"/>
              <w:rPr>
                <w:rFonts w:ascii="宋体" w:hAnsi="宋体" w:eastAsia="宋体" w:cs="宋体"/>
                <w:b/>
                <w:color w:val="0D0D0D" w:themeColor="text1" w:themeTint="F2"/>
                <w:sz w:val="18"/>
                <w:szCs w:val="18"/>
                <w:lang w:val="zh-TW" w:eastAsia="zh-TW" w:bidi="zh-TW"/>
                <w14:textFill>
                  <w14:solidFill>
                    <w14:schemeClr w14:val="tx1">
                      <w14:lumMod w14:val="95000"/>
                      <w14:lumOff w14:val="5000"/>
                    </w14:schemeClr>
                  </w14:solidFill>
                </w14:textFill>
              </w:rPr>
            </w:pPr>
            <w:r>
              <w:rPr>
                <w:rFonts w:hint="eastAsia" w:ascii="宋体" w:hAnsi="宋体" w:eastAsia="宋体" w:cs="宋体"/>
                <w:b/>
                <w:color w:val="0D0D0D" w:themeColor="text1" w:themeTint="F2"/>
                <w:sz w:val="18"/>
                <w:szCs w:val="18"/>
                <w:lang w:val="zh-TW" w:eastAsia="zh-TW" w:bidi="zh-TW"/>
                <w14:textFill>
                  <w14:solidFill>
                    <w14:schemeClr w14:val="tx1">
                      <w14:lumMod w14:val="95000"/>
                      <w14:lumOff w14:val="5000"/>
                    </w14:schemeClr>
                  </w14:solidFill>
                </w14:textFill>
              </w:rPr>
              <w:t>序号</w:t>
            </w:r>
          </w:p>
        </w:tc>
        <w:tc>
          <w:tcPr>
            <w:tcW w:w="1699" w:type="dxa"/>
            <w:tcBorders>
              <w:top w:val="single" w:color="auto" w:sz="4" w:space="0"/>
              <w:left w:val="single" w:color="auto" w:sz="4" w:space="0"/>
              <w:bottom w:val="nil"/>
              <w:right w:val="nil"/>
            </w:tcBorders>
            <w:shd w:val="clear" w:color="auto" w:fill="FFFFFF"/>
            <w:vAlign w:val="center"/>
          </w:tcPr>
          <w:p>
            <w:pPr>
              <w:jc w:val="center"/>
              <w:rPr>
                <w:rFonts w:ascii="宋体" w:hAnsi="宋体" w:eastAsia="宋体" w:cs="宋体"/>
                <w:b/>
                <w:color w:val="0D0D0D" w:themeColor="text1" w:themeTint="F2"/>
                <w:sz w:val="18"/>
                <w:szCs w:val="18"/>
                <w:lang w:val="zh-TW" w:eastAsia="zh-TW" w:bidi="zh-TW"/>
                <w14:textFill>
                  <w14:solidFill>
                    <w14:schemeClr w14:val="tx1">
                      <w14:lumMod w14:val="95000"/>
                      <w14:lumOff w14:val="5000"/>
                    </w14:schemeClr>
                  </w14:solidFill>
                </w14:textFill>
              </w:rPr>
            </w:pPr>
            <w:r>
              <w:rPr>
                <w:rFonts w:hint="eastAsia" w:ascii="宋体" w:hAnsi="宋体" w:eastAsia="宋体" w:cs="宋体"/>
                <w:b/>
                <w:color w:val="0D0D0D" w:themeColor="text1" w:themeTint="F2"/>
                <w:sz w:val="18"/>
                <w:szCs w:val="18"/>
                <w:lang w:val="zh-TW" w:eastAsia="zh-TW" w:bidi="zh-TW"/>
                <w14:textFill>
                  <w14:solidFill>
                    <w14:schemeClr w14:val="tx1">
                      <w14:lumMod w14:val="95000"/>
                      <w14:lumOff w14:val="5000"/>
                    </w14:schemeClr>
                  </w14:solidFill>
                </w14:textFill>
              </w:rPr>
              <w:t>专业课程名称</w:t>
            </w:r>
          </w:p>
        </w:tc>
        <w:tc>
          <w:tcPr>
            <w:tcW w:w="6043" w:type="dxa"/>
            <w:tcBorders>
              <w:top w:val="single" w:color="auto" w:sz="4" w:space="0"/>
              <w:left w:val="single" w:color="auto" w:sz="4" w:space="0"/>
              <w:bottom w:val="nil"/>
              <w:right w:val="nil"/>
            </w:tcBorders>
            <w:shd w:val="clear" w:color="auto" w:fill="FFFFFF"/>
            <w:vAlign w:val="center"/>
          </w:tcPr>
          <w:p>
            <w:pPr>
              <w:jc w:val="center"/>
              <w:rPr>
                <w:rFonts w:ascii="宋体" w:hAnsi="宋体" w:eastAsia="宋体" w:cs="宋体"/>
                <w:b/>
                <w:color w:val="0D0D0D" w:themeColor="text1" w:themeTint="F2"/>
                <w:sz w:val="18"/>
                <w:szCs w:val="18"/>
                <w:lang w:val="zh-TW" w:eastAsia="zh-TW" w:bidi="zh-TW"/>
                <w14:textFill>
                  <w14:solidFill>
                    <w14:schemeClr w14:val="tx1">
                      <w14:lumMod w14:val="95000"/>
                      <w14:lumOff w14:val="5000"/>
                    </w14:schemeClr>
                  </w14:solidFill>
                </w14:textFill>
              </w:rPr>
            </w:pPr>
            <w:r>
              <w:rPr>
                <w:rFonts w:hint="eastAsia" w:ascii="宋体" w:hAnsi="宋体" w:eastAsia="宋体" w:cs="宋体"/>
                <w:b/>
                <w:color w:val="0D0D0D" w:themeColor="text1" w:themeTint="F2"/>
                <w:sz w:val="18"/>
                <w:szCs w:val="18"/>
                <w:lang w:val="zh-TW" w:eastAsia="zh-TW" w:bidi="zh-TW"/>
                <w14:textFill>
                  <w14:solidFill>
                    <w14:schemeClr w14:val="tx1">
                      <w14:lumMod w14:val="95000"/>
                      <w14:lumOff w14:val="5000"/>
                    </w14:schemeClr>
                  </w14:solidFill>
                </w14:textFill>
              </w:rPr>
              <w:t>主要教学内容</w:t>
            </w:r>
          </w:p>
        </w:tc>
      </w:tr>
      <w:tr>
        <w:tblPrEx>
          <w:tblCellMar>
            <w:top w:w="0" w:type="dxa"/>
            <w:left w:w="10" w:type="dxa"/>
            <w:bottom w:w="0" w:type="dxa"/>
            <w:right w:w="10" w:type="dxa"/>
          </w:tblCellMar>
        </w:tblPrEx>
        <w:trPr>
          <w:trHeight w:val="1641" w:hRule="exact"/>
          <w:jc w:val="center"/>
        </w:trPr>
        <w:tc>
          <w:tcPr>
            <w:tcW w:w="706" w:type="dxa"/>
            <w:tcBorders>
              <w:top w:val="single" w:color="auto" w:sz="4" w:space="0"/>
              <w:left w:val="nil"/>
              <w:bottom w:val="nil"/>
              <w:right w:val="nil"/>
            </w:tcBorders>
            <w:shd w:val="clear" w:color="auto" w:fill="FFFFFF"/>
            <w:vAlign w:val="center"/>
          </w:tcPr>
          <w:p>
            <w:pPr>
              <w:ind w:firstLine="320"/>
              <w:jc w:val="left"/>
              <w:rPr>
                <w:rFonts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 w:val="18"/>
                <w:szCs w:val="18"/>
                <w:lang w:val="zh-TW" w:bidi="zh-TW"/>
                <w14:textFill>
                  <w14:solidFill>
                    <w14:schemeClr w14:val="tx1">
                      <w14:lumMod w14:val="95000"/>
                      <w14:lumOff w14:val="5000"/>
                    </w14:schemeClr>
                  </w14:solidFill>
                </w14:textFill>
              </w:rPr>
              <w:t>1</w:t>
            </w:r>
          </w:p>
        </w:tc>
        <w:tc>
          <w:tcPr>
            <w:tcW w:w="1699" w:type="dxa"/>
            <w:tcBorders>
              <w:top w:val="single" w:color="auto" w:sz="4" w:space="0"/>
              <w:left w:val="single" w:color="auto" w:sz="4" w:space="0"/>
              <w:bottom w:val="nil"/>
              <w:right w:val="nil"/>
            </w:tcBorders>
            <w:shd w:val="clear" w:color="auto" w:fill="FFFFFF"/>
            <w:vAlign w:val="center"/>
          </w:tcPr>
          <w:p>
            <w:pPr>
              <w:jc w:val="left"/>
              <w:rPr>
                <w:rFonts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18"/>
                <w:szCs w:val="18"/>
                <w14:textFill>
                  <w14:solidFill>
                    <w14:schemeClr w14:val="tx1">
                      <w14:lumMod w14:val="95000"/>
                      <w14:lumOff w14:val="5000"/>
                    </w14:schemeClr>
                  </w14:solidFill>
                </w14:textFill>
              </w:rPr>
              <w:t>技术机械与设计</w:t>
            </w:r>
          </w:p>
        </w:tc>
        <w:tc>
          <w:tcPr>
            <w:tcW w:w="6043" w:type="dxa"/>
            <w:tcBorders>
              <w:top w:val="single" w:color="auto" w:sz="4" w:space="0"/>
              <w:left w:val="single" w:color="auto" w:sz="4" w:space="0"/>
              <w:bottom w:val="nil"/>
              <w:right w:val="nil"/>
            </w:tcBorders>
            <w:shd w:val="clear" w:color="auto" w:fill="FFFFFF"/>
            <w:vAlign w:val="center"/>
          </w:tcPr>
          <w:p>
            <w:pPr>
              <w:rPr>
                <w:rFonts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常用运动机构的功用、特点和应用、传动件的结构、功用，能阅读相关的技术文件。</w:t>
            </w:r>
          </w:p>
          <w:p>
            <w:pPr>
              <w:rPr>
                <w:rFonts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传动件图纸识读</w:t>
            </w: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w:t>
            </w: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紧固件连接要求和连接顺序</w:t>
            </w: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w:t>
            </w: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紧固件拆装方法</w:t>
            </w: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w:t>
            </w: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机电设备机械系统、润滑系统和冷却系统的故障并排除</w:t>
            </w: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w:t>
            </w:r>
          </w:p>
          <w:p>
            <w:pPr>
              <w:rPr>
                <w:rFonts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工程力学和公差与技术测量。</w:t>
            </w:r>
          </w:p>
        </w:tc>
      </w:tr>
      <w:tr>
        <w:tblPrEx>
          <w:tblCellMar>
            <w:top w:w="0" w:type="dxa"/>
            <w:left w:w="10" w:type="dxa"/>
            <w:bottom w:w="0" w:type="dxa"/>
            <w:right w:w="10" w:type="dxa"/>
          </w:tblCellMar>
        </w:tblPrEx>
        <w:trPr>
          <w:trHeight w:val="999" w:hRule="exact"/>
          <w:jc w:val="center"/>
        </w:trPr>
        <w:tc>
          <w:tcPr>
            <w:tcW w:w="706" w:type="dxa"/>
            <w:tcBorders>
              <w:top w:val="single" w:color="auto" w:sz="4" w:space="0"/>
              <w:left w:val="nil"/>
              <w:bottom w:val="nil"/>
              <w:right w:val="nil"/>
            </w:tcBorders>
            <w:shd w:val="clear" w:color="auto" w:fill="FFFFFF"/>
            <w:vAlign w:val="center"/>
          </w:tcPr>
          <w:p>
            <w:pPr>
              <w:ind w:firstLine="320"/>
              <w:jc w:val="left"/>
              <w:rPr>
                <w:rFonts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 w:val="18"/>
                <w:szCs w:val="18"/>
                <w:lang w:val="zh-TW" w:bidi="zh-TW"/>
                <w14:textFill>
                  <w14:solidFill>
                    <w14:schemeClr w14:val="tx1">
                      <w14:lumMod w14:val="95000"/>
                      <w14:lumOff w14:val="5000"/>
                    </w14:schemeClr>
                  </w14:solidFill>
                </w14:textFill>
              </w:rPr>
              <w:t>2</w:t>
            </w:r>
          </w:p>
        </w:tc>
        <w:tc>
          <w:tcPr>
            <w:tcW w:w="1699" w:type="dxa"/>
            <w:tcBorders>
              <w:top w:val="single" w:color="auto" w:sz="4" w:space="0"/>
              <w:left w:val="single" w:color="auto" w:sz="4" w:space="0"/>
              <w:bottom w:val="nil"/>
              <w:right w:val="nil"/>
            </w:tcBorders>
            <w:shd w:val="clear" w:color="auto" w:fill="FFFFFF"/>
            <w:vAlign w:val="center"/>
          </w:tcPr>
          <w:p>
            <w:pPr>
              <w:jc w:val="left"/>
              <w:rPr>
                <w:rFonts w:ascii="宋体" w:hAnsi="宋体" w:eastAsia="宋体" w:cs="宋体"/>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18"/>
                <w:szCs w:val="18"/>
                <w14:textFill>
                  <w14:solidFill>
                    <w14:schemeClr w14:val="tx1">
                      <w14:lumMod w14:val="95000"/>
                      <w14:lumOff w14:val="5000"/>
                    </w14:schemeClr>
                  </w14:solidFill>
                </w14:textFill>
              </w:rPr>
              <w:t>自动化技术</w:t>
            </w:r>
          </w:p>
        </w:tc>
        <w:tc>
          <w:tcPr>
            <w:tcW w:w="6043" w:type="dxa"/>
            <w:tcBorders>
              <w:top w:val="single" w:color="auto" w:sz="4" w:space="0"/>
              <w:left w:val="single" w:color="auto" w:sz="4" w:space="0"/>
              <w:bottom w:val="nil"/>
              <w:right w:val="nil"/>
            </w:tcBorders>
            <w:shd w:val="clear" w:color="auto" w:fill="FFFFFF"/>
            <w:vAlign w:val="center"/>
          </w:tcPr>
          <w:p>
            <w:pPr>
              <w:rPr>
                <w:rFonts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自动控制</w:t>
            </w: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基本</w:t>
            </w: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理论，控制过程分析</w:t>
            </w: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w:t>
            </w: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利用外加的设备或装置</w:t>
            </w: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w:t>
            </w:r>
          </w:p>
          <w:p>
            <w:pPr>
              <w:rPr>
                <w:rFonts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机器、设备或生产过程的某个工作状态或参数自动地按照预定的规律运行分析。</w:t>
            </w:r>
          </w:p>
        </w:tc>
      </w:tr>
      <w:tr>
        <w:tblPrEx>
          <w:tblCellMar>
            <w:top w:w="0" w:type="dxa"/>
            <w:left w:w="10" w:type="dxa"/>
            <w:bottom w:w="0" w:type="dxa"/>
            <w:right w:w="10" w:type="dxa"/>
          </w:tblCellMar>
        </w:tblPrEx>
        <w:trPr>
          <w:trHeight w:val="984" w:hRule="exact"/>
          <w:jc w:val="center"/>
        </w:trPr>
        <w:tc>
          <w:tcPr>
            <w:tcW w:w="706" w:type="dxa"/>
            <w:tcBorders>
              <w:top w:val="single" w:color="auto" w:sz="4" w:space="0"/>
              <w:left w:val="nil"/>
              <w:bottom w:val="nil"/>
              <w:right w:val="nil"/>
            </w:tcBorders>
            <w:shd w:val="clear" w:color="auto" w:fill="FFFFFF"/>
            <w:vAlign w:val="center"/>
          </w:tcPr>
          <w:p>
            <w:pPr>
              <w:ind w:firstLine="320"/>
              <w:jc w:val="left"/>
              <w:rPr>
                <w:rFonts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 w:val="18"/>
                <w:szCs w:val="18"/>
                <w:lang w:val="zh-TW" w:bidi="zh-TW"/>
                <w14:textFill>
                  <w14:solidFill>
                    <w14:schemeClr w14:val="tx1">
                      <w14:lumMod w14:val="95000"/>
                      <w14:lumOff w14:val="5000"/>
                    </w14:schemeClr>
                  </w14:solidFill>
                </w14:textFill>
              </w:rPr>
              <w:t>3</w:t>
            </w:r>
          </w:p>
        </w:tc>
        <w:tc>
          <w:tcPr>
            <w:tcW w:w="1699" w:type="dxa"/>
            <w:tcBorders>
              <w:top w:val="single" w:color="auto" w:sz="4" w:space="0"/>
              <w:left w:val="single" w:color="auto" w:sz="4" w:space="0"/>
              <w:bottom w:val="nil"/>
              <w:right w:val="nil"/>
            </w:tcBorders>
            <w:shd w:val="clear" w:color="auto" w:fill="FFFFFF"/>
            <w:vAlign w:val="center"/>
          </w:tcPr>
          <w:p>
            <w:pPr>
              <w:jc w:val="left"/>
              <w:rPr>
                <w:rFonts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PLC及气液控制技术</w:t>
            </w:r>
          </w:p>
        </w:tc>
        <w:tc>
          <w:tcPr>
            <w:tcW w:w="6043" w:type="dxa"/>
            <w:tcBorders>
              <w:top w:val="single" w:color="auto" w:sz="4" w:space="0"/>
              <w:left w:val="single" w:color="auto" w:sz="4" w:space="0"/>
              <w:bottom w:val="nil"/>
              <w:right w:val="nil"/>
            </w:tcBorders>
            <w:shd w:val="clear" w:color="auto" w:fill="FFFFFF"/>
            <w:vAlign w:val="center"/>
          </w:tcPr>
          <w:p>
            <w:pPr>
              <w:spacing w:line="307" w:lineRule="exact"/>
              <w:rPr>
                <w:rFonts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液压</w:t>
            </w: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与气动元器件识读</w:t>
            </w: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、选用；</w:t>
            </w:r>
          </w:p>
          <w:p>
            <w:pPr>
              <w:spacing w:line="307" w:lineRule="exact"/>
              <w:rPr>
                <w:rFonts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动力元件与执行元件能进行能量匹配；</w:t>
            </w:r>
          </w:p>
          <w:p>
            <w:pPr>
              <w:spacing w:line="307" w:lineRule="exact"/>
              <w:rPr>
                <w:rFonts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搭接液压与气动系统；图纸识读并根据要求安装调试。</w:t>
            </w:r>
          </w:p>
        </w:tc>
      </w:tr>
      <w:tr>
        <w:tblPrEx>
          <w:tblCellMar>
            <w:top w:w="0" w:type="dxa"/>
            <w:left w:w="10" w:type="dxa"/>
            <w:bottom w:w="0" w:type="dxa"/>
            <w:right w:w="10" w:type="dxa"/>
          </w:tblCellMar>
        </w:tblPrEx>
        <w:trPr>
          <w:trHeight w:val="736" w:hRule="exact"/>
          <w:jc w:val="center"/>
        </w:trPr>
        <w:tc>
          <w:tcPr>
            <w:tcW w:w="706" w:type="dxa"/>
            <w:tcBorders>
              <w:top w:val="single" w:color="auto" w:sz="4" w:space="0"/>
              <w:left w:val="nil"/>
              <w:bottom w:val="single" w:color="auto" w:sz="4" w:space="0"/>
              <w:right w:val="nil"/>
            </w:tcBorders>
            <w:shd w:val="clear" w:color="auto" w:fill="FFFFFF"/>
            <w:vAlign w:val="center"/>
          </w:tcPr>
          <w:p>
            <w:pPr>
              <w:ind w:firstLine="320"/>
              <w:jc w:val="left"/>
              <w:rPr>
                <w:rFonts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 w:val="18"/>
                <w:szCs w:val="18"/>
                <w:lang w:val="zh-TW" w:bidi="zh-TW"/>
                <w14:textFill>
                  <w14:solidFill>
                    <w14:schemeClr w14:val="tx1">
                      <w14:lumMod w14:val="95000"/>
                      <w14:lumOff w14:val="5000"/>
                    </w14:schemeClr>
                  </w14:solidFill>
                </w14:textFill>
              </w:rPr>
              <w:t>4</w:t>
            </w:r>
          </w:p>
        </w:tc>
        <w:tc>
          <w:tcPr>
            <w:tcW w:w="1699" w:type="dxa"/>
            <w:tcBorders>
              <w:top w:val="single" w:color="auto" w:sz="4" w:space="0"/>
              <w:left w:val="single" w:color="auto" w:sz="4" w:space="0"/>
              <w:bottom w:val="single" w:color="auto" w:sz="4" w:space="0"/>
              <w:right w:val="nil"/>
            </w:tcBorders>
            <w:shd w:val="clear" w:color="auto" w:fill="FFFFFF"/>
            <w:vAlign w:val="center"/>
          </w:tcPr>
          <w:p>
            <w:pPr>
              <w:spacing w:line="307" w:lineRule="exact"/>
              <w:jc w:val="left"/>
              <w:rPr>
                <w:rFonts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18"/>
                <w:szCs w:val="18"/>
                <w14:textFill>
                  <w14:solidFill>
                    <w14:schemeClr w14:val="tx1">
                      <w14:lumMod w14:val="95000"/>
                      <w14:lumOff w14:val="5000"/>
                    </w14:schemeClr>
                  </w14:solidFill>
                </w14:textFill>
              </w:rPr>
              <w:t>电机及驱动技术</w:t>
            </w:r>
          </w:p>
        </w:tc>
        <w:tc>
          <w:tcPr>
            <w:tcW w:w="6043" w:type="dxa"/>
            <w:tcBorders>
              <w:top w:val="single" w:color="auto" w:sz="4" w:space="0"/>
              <w:left w:val="single" w:color="auto" w:sz="4" w:space="0"/>
              <w:bottom w:val="single" w:color="auto" w:sz="4" w:space="0"/>
              <w:right w:val="nil"/>
            </w:tcBorders>
            <w:shd w:val="clear" w:color="auto" w:fill="FFFFFF"/>
            <w:vAlign w:val="center"/>
          </w:tcPr>
          <w:p>
            <w:pPr>
              <w:rPr>
                <w:rFonts w:ascii="宋体" w:hAnsi="宋体" w:eastAsia="宋体" w:cs="宋体"/>
                <w:color w:val="0D0D0D" w:themeColor="text1" w:themeTint="F2"/>
                <w:kern w:val="0"/>
                <w:sz w:val="18"/>
                <w:szCs w:val="18"/>
                <w14:textFill>
                  <w14:solidFill>
                    <w14:schemeClr w14:val="tx1">
                      <w14:lumMod w14:val="95000"/>
                      <w14:lumOff w14:val="5000"/>
                    </w14:schemeClr>
                  </w14:solidFill>
                </w14:textFill>
              </w:rPr>
            </w:pPr>
            <w:r>
              <w:rPr>
                <w:rFonts w:ascii="宋体" w:hAnsi="宋体" w:eastAsia="宋体" w:cs="宋体"/>
                <w:color w:val="0D0D0D" w:themeColor="text1" w:themeTint="F2"/>
                <w:kern w:val="0"/>
                <w:sz w:val="18"/>
                <w:szCs w:val="18"/>
                <w14:textFill>
                  <w14:solidFill>
                    <w14:schemeClr w14:val="tx1">
                      <w14:lumMod w14:val="95000"/>
                      <w14:lumOff w14:val="5000"/>
                    </w14:schemeClr>
                  </w14:solidFill>
                </w14:textFill>
              </w:rPr>
              <w:t>控制电路创建；常用手册查阅，电工工具使用，</w:t>
            </w:r>
            <w:r>
              <w:rPr>
                <w:rFonts w:hint="eastAsia" w:ascii="宋体" w:hAnsi="宋体" w:eastAsia="宋体" w:cs="宋体"/>
                <w:color w:val="0D0D0D" w:themeColor="text1" w:themeTint="F2"/>
                <w:kern w:val="0"/>
                <w:sz w:val="18"/>
                <w:szCs w:val="18"/>
                <w14:textFill>
                  <w14:solidFill>
                    <w14:schemeClr w14:val="tx1">
                      <w14:lumMod w14:val="95000"/>
                      <w14:lumOff w14:val="5000"/>
                    </w14:schemeClr>
                  </w14:solidFill>
                </w14:textFill>
              </w:rPr>
              <w:t>线路</w:t>
            </w:r>
            <w:r>
              <w:rPr>
                <w:rFonts w:ascii="宋体" w:hAnsi="宋体" w:eastAsia="宋体" w:cs="宋体"/>
                <w:color w:val="0D0D0D" w:themeColor="text1" w:themeTint="F2"/>
                <w:kern w:val="0"/>
                <w:sz w:val="18"/>
                <w:szCs w:val="18"/>
                <w14:textFill>
                  <w14:solidFill>
                    <w14:schemeClr w14:val="tx1">
                      <w14:lumMod w14:val="95000"/>
                      <w14:lumOff w14:val="5000"/>
                    </w14:schemeClr>
                  </w14:solidFill>
                </w14:textFill>
              </w:rPr>
              <w:t>搭建和检测；安全操作技术，安装照明线路、低压电器控制线路等。</w:t>
            </w:r>
          </w:p>
        </w:tc>
      </w:tr>
      <w:tr>
        <w:tblPrEx>
          <w:tblCellMar>
            <w:top w:w="0" w:type="dxa"/>
            <w:left w:w="10" w:type="dxa"/>
            <w:bottom w:w="0" w:type="dxa"/>
            <w:right w:w="10" w:type="dxa"/>
          </w:tblCellMar>
        </w:tblPrEx>
        <w:trPr>
          <w:trHeight w:val="1286" w:hRule="exact"/>
          <w:jc w:val="center"/>
        </w:trPr>
        <w:tc>
          <w:tcPr>
            <w:tcW w:w="706" w:type="dxa"/>
            <w:tcBorders>
              <w:top w:val="single" w:color="auto" w:sz="4" w:space="0"/>
              <w:left w:val="nil"/>
              <w:bottom w:val="single" w:color="auto" w:sz="4" w:space="0"/>
              <w:right w:val="nil"/>
            </w:tcBorders>
            <w:shd w:val="clear" w:color="auto" w:fill="FFFFFF"/>
            <w:vAlign w:val="center"/>
          </w:tcPr>
          <w:p>
            <w:pPr>
              <w:ind w:firstLine="320"/>
              <w:jc w:val="left"/>
              <w:rPr>
                <w:rFonts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5</w:t>
            </w:r>
          </w:p>
        </w:tc>
        <w:tc>
          <w:tcPr>
            <w:tcW w:w="1699" w:type="dxa"/>
            <w:tcBorders>
              <w:top w:val="single" w:color="auto" w:sz="4" w:space="0"/>
              <w:left w:val="single" w:color="auto" w:sz="4" w:space="0"/>
              <w:bottom w:val="single" w:color="auto" w:sz="4" w:space="0"/>
              <w:right w:val="nil"/>
            </w:tcBorders>
            <w:shd w:val="clear" w:color="auto" w:fill="FFFFFF"/>
            <w:vAlign w:val="center"/>
          </w:tcPr>
          <w:p>
            <w:pPr>
              <w:jc w:val="left"/>
              <w:rPr>
                <w:rFonts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18"/>
                <w:szCs w:val="18"/>
                <w14:textFill>
                  <w14:solidFill>
                    <w14:schemeClr w14:val="tx1">
                      <w14:lumMod w14:val="95000"/>
                      <w14:lumOff w14:val="5000"/>
                    </w14:schemeClr>
                  </w14:solidFill>
                </w14:textFill>
              </w:rPr>
              <w:t>机电一体化技术</w:t>
            </w:r>
          </w:p>
        </w:tc>
        <w:tc>
          <w:tcPr>
            <w:tcW w:w="6043" w:type="dxa"/>
            <w:tcBorders>
              <w:top w:val="single" w:color="auto" w:sz="4" w:space="0"/>
              <w:left w:val="single" w:color="auto" w:sz="4" w:space="0"/>
              <w:bottom w:val="single" w:color="auto" w:sz="4" w:space="0"/>
              <w:right w:val="nil"/>
            </w:tcBorders>
            <w:shd w:val="clear" w:color="auto" w:fill="FFFFFF"/>
            <w:vAlign w:val="center"/>
          </w:tcPr>
          <w:p>
            <w:pPr>
              <w:spacing w:line="300" w:lineRule="exact"/>
              <w:rPr>
                <w:rFonts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可编程控制器技术发展历史、典型</w:t>
            </w:r>
            <w:r>
              <w:rPr>
                <w:rFonts w:ascii="宋体" w:hAnsi="宋体" w:eastAsia="宋体" w:cs="Times New Roman"/>
                <w:color w:val="0D0D0D" w:themeColor="text1" w:themeTint="F2"/>
                <w:sz w:val="18"/>
                <w:szCs w:val="18"/>
                <w:lang w:bidi="en-US"/>
                <w14:textFill>
                  <w14:solidFill>
                    <w14:schemeClr w14:val="tx1">
                      <w14:lumMod w14:val="95000"/>
                      <w14:lumOff w14:val="5000"/>
                    </w14:schemeClr>
                  </w14:solidFill>
                </w14:textFill>
              </w:rPr>
              <w:t>PLC</w:t>
            </w: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的结构、</w:t>
            </w:r>
            <w:r>
              <w:rPr>
                <w:rFonts w:ascii="宋体" w:hAnsi="宋体" w:eastAsia="宋体" w:cs="Times New Roman"/>
                <w:color w:val="0D0D0D" w:themeColor="text1" w:themeTint="F2"/>
                <w:sz w:val="18"/>
                <w:szCs w:val="18"/>
                <w:lang w:bidi="en-US"/>
                <w14:textFill>
                  <w14:solidFill>
                    <w14:schemeClr w14:val="tx1">
                      <w14:lumMod w14:val="95000"/>
                      <w14:lumOff w14:val="5000"/>
                    </w14:schemeClr>
                  </w14:solidFill>
                </w14:textFill>
              </w:rPr>
              <w:t>PLC</w:t>
            </w: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系统开发的典型过程、</w:t>
            </w:r>
            <w:r>
              <w:rPr>
                <w:rFonts w:ascii="宋体" w:hAnsi="宋体" w:eastAsia="宋体" w:cs="Times New Roman"/>
                <w:color w:val="0D0D0D" w:themeColor="text1" w:themeTint="F2"/>
                <w:sz w:val="18"/>
                <w:szCs w:val="18"/>
                <w:lang w:bidi="en-US"/>
                <w14:textFill>
                  <w14:solidFill>
                    <w14:schemeClr w14:val="tx1">
                      <w14:lumMod w14:val="95000"/>
                      <w14:lumOff w14:val="5000"/>
                    </w14:schemeClr>
                  </w14:solidFill>
                </w14:textFill>
              </w:rPr>
              <w:t>PLC</w:t>
            </w: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系统的典型指令、</w:t>
            </w:r>
            <w:r>
              <w:rPr>
                <w:rFonts w:ascii="宋体" w:hAnsi="宋体" w:eastAsia="宋体" w:cs="Times New Roman"/>
                <w:color w:val="0D0D0D" w:themeColor="text1" w:themeTint="F2"/>
                <w:sz w:val="18"/>
                <w:szCs w:val="18"/>
                <w:lang w:bidi="en-US"/>
                <w14:textFill>
                  <w14:solidFill>
                    <w14:schemeClr w14:val="tx1">
                      <w14:lumMod w14:val="95000"/>
                      <w14:lumOff w14:val="5000"/>
                    </w14:schemeClr>
                  </w14:solidFill>
                </w14:textFill>
              </w:rPr>
              <w:t>PLC</w:t>
            </w: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系统外围接口、</w:t>
            </w:r>
            <w:r>
              <w:rPr>
                <w:rFonts w:ascii="宋体" w:hAnsi="宋体" w:eastAsia="宋体" w:cs="Times New Roman"/>
                <w:color w:val="0D0D0D" w:themeColor="text1" w:themeTint="F2"/>
                <w:sz w:val="18"/>
                <w:szCs w:val="18"/>
                <w:lang w:bidi="en-US"/>
                <w14:textFill>
                  <w14:solidFill>
                    <w14:schemeClr w14:val="tx1">
                      <w14:lumMod w14:val="95000"/>
                      <w14:lumOff w14:val="5000"/>
                    </w14:schemeClr>
                  </w14:solidFill>
                </w14:textFill>
              </w:rPr>
              <w:t>PLC</w:t>
            </w: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控制系统安装调试等</w:t>
            </w: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w:t>
            </w:r>
          </w:p>
          <w:p>
            <w:pPr>
              <w:spacing w:line="300" w:lineRule="exact"/>
              <w:rPr>
                <w:rFonts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电气</w:t>
            </w: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控制装调</w:t>
            </w: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w:t>
            </w:r>
            <w:r>
              <w:rPr>
                <w:rFonts w:hint="eastAsia" w:ascii="宋体" w:hAnsi="宋体" w:eastAsia="宋体" w:cs="宋体"/>
                <w:color w:val="0D0D0D" w:themeColor="text1" w:themeTint="F2"/>
                <w:sz w:val="18"/>
                <w:szCs w:val="18"/>
                <w:lang w:val="zh-TW" w:eastAsia="zh-TW" w:bidi="zh-TW"/>
                <w14:textFill>
                  <w14:solidFill>
                    <w14:schemeClr w14:val="tx1">
                      <w14:lumMod w14:val="95000"/>
                      <w14:lumOff w14:val="5000"/>
                    </w14:schemeClr>
                  </w14:solidFill>
                </w14:textFill>
              </w:rPr>
              <w:t>机械装调</w:t>
            </w:r>
            <w:r>
              <w:rPr>
                <w:rFonts w:hint="eastAsia" w:ascii="宋体" w:hAnsi="宋体" w:eastAsia="宋体" w:cs="宋体"/>
                <w:color w:val="0D0D0D" w:themeColor="text1" w:themeTint="F2"/>
                <w:sz w:val="18"/>
                <w:szCs w:val="18"/>
                <w:lang w:val="zh-TW" w:bidi="zh-TW"/>
                <w14:textFill>
                  <w14:solidFill>
                    <w14:schemeClr w14:val="tx1">
                      <w14:lumMod w14:val="95000"/>
                      <w14:lumOff w14:val="5000"/>
                    </w14:schemeClr>
                  </w14:solidFill>
                </w14:textFill>
              </w:rPr>
              <w:t>、PLC电气控制；传感器、变频器、伺服电机、触摸屏控制，设备运行整机调试。</w:t>
            </w:r>
          </w:p>
        </w:tc>
      </w:tr>
    </w:tbl>
    <w:p>
      <w:pPr>
        <w:spacing w:line="300" w:lineRule="auto"/>
        <w:ind w:firstLine="420" w:firstLineChars="200"/>
        <w:rPr>
          <w:rFonts w:ascii="宋体" w:hAnsi="宋体" w:eastAsia="宋体" w:cs="Times New Roman"/>
          <w:color w:val="0D0D0D" w:themeColor="text1" w:themeTint="F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1"/>
          <w:lang w:bidi="zh-TW"/>
          <w14:textFill>
            <w14:solidFill>
              <w14:schemeClr w14:val="tx1">
                <w14:lumMod w14:val="95000"/>
                <w14:lumOff w14:val="5000"/>
              </w14:schemeClr>
            </w14:solidFill>
          </w14:textFill>
        </w:rPr>
        <w:t>（4）实践性教</w:t>
      </w:r>
      <w:r>
        <w:rPr>
          <w:rFonts w:hint="eastAsia" w:ascii="宋体" w:hAnsi="宋体" w:eastAsia="宋体" w:cs="Times New Roman"/>
          <w:color w:val="0D0D0D" w:themeColor="text1" w:themeTint="F2"/>
          <w:szCs w:val="21"/>
          <w14:textFill>
            <w14:solidFill>
              <w14:schemeClr w14:val="tx1">
                <w14:lumMod w14:val="95000"/>
                <w14:lumOff w14:val="5000"/>
              </w14:schemeClr>
            </w14:solidFill>
          </w14:textFill>
        </w:rPr>
        <w:t>学环节</w:t>
      </w:r>
    </w:p>
    <w:p>
      <w:pPr>
        <w:spacing w:line="300" w:lineRule="auto"/>
        <w:ind w:firstLine="420" w:firstLineChars="200"/>
        <w:rPr>
          <w:rFonts w:ascii="宋体" w:hAnsi="宋体" w:eastAsia="宋体" w:cs="宋体"/>
          <w:color w:val="0D0D0D" w:themeColor="text1" w:themeTint="F2"/>
          <w:szCs w:val="21"/>
          <w:lang w:bidi="zh-TW"/>
          <w14:textFill>
            <w14:solidFill>
              <w14:schemeClr w14:val="tx1">
                <w14:lumMod w14:val="95000"/>
                <w14:lumOff w14:val="5000"/>
              </w14:schemeClr>
            </w14:solidFill>
          </w14:textFill>
        </w:rPr>
      </w:pPr>
      <w:r>
        <w:rPr>
          <w:rFonts w:ascii="宋体" w:hAnsi="宋体" w:eastAsia="宋体" w:cs="Times New Roman"/>
          <w:color w:val="0D0D0D" w:themeColor="text1" w:themeTint="F2"/>
          <w:szCs w:val="21"/>
          <w14:textFill>
            <w14:solidFill>
              <w14:schemeClr w14:val="tx1">
                <w14:lumMod w14:val="95000"/>
                <w14:lumOff w14:val="5000"/>
              </w14:schemeClr>
            </w14:solidFill>
          </w14:textFill>
        </w:rPr>
        <w:t>实践性教学环节主要包括实训、实习等。实训可在校内实训室以及校外实训基地等开展完成；</w:t>
      </w:r>
      <w:r>
        <w:rPr>
          <w:rFonts w:hint="eastAsia" w:ascii="宋体" w:hAnsi="宋体" w:eastAsia="宋体" w:cs="Times New Roman"/>
          <w:color w:val="0D0D0D" w:themeColor="text1" w:themeTint="F2"/>
          <w:szCs w:val="21"/>
          <w14:textFill>
            <w14:solidFill>
              <w14:schemeClr w14:val="tx1">
                <w14:lumMod w14:val="95000"/>
                <w14:lumOff w14:val="5000"/>
              </w14:schemeClr>
            </w14:solidFill>
          </w14:textFill>
        </w:rPr>
        <w:t>认知</w:t>
      </w:r>
      <w:r>
        <w:rPr>
          <w:rFonts w:ascii="宋体" w:hAnsi="宋体" w:eastAsia="宋体" w:cs="Times New Roman"/>
          <w:color w:val="0D0D0D" w:themeColor="text1" w:themeTint="F2"/>
          <w:szCs w:val="21"/>
          <w14:textFill>
            <w14:solidFill>
              <w14:schemeClr w14:val="tx1">
                <w14:lumMod w14:val="95000"/>
                <w14:lumOff w14:val="5000"/>
              </w14:schemeClr>
            </w14:solidFill>
          </w14:textFill>
        </w:rPr>
        <w:t>实习、随岗实习、顶岗实习可由学校组织在</w:t>
      </w:r>
      <w:r>
        <w:rPr>
          <w:rFonts w:hint="eastAsia" w:ascii="宋体" w:hAnsi="宋体" w:eastAsia="宋体" w:cs="Times New Roman"/>
          <w:color w:val="0D0D0D" w:themeColor="text1" w:themeTint="F2"/>
          <w:szCs w:val="21"/>
          <w14:textFill>
            <w14:solidFill>
              <w14:schemeClr w14:val="tx1">
                <w14:lumMod w14:val="95000"/>
                <w14:lumOff w14:val="5000"/>
              </w14:schemeClr>
            </w14:solidFill>
          </w14:textFill>
        </w:rPr>
        <w:t>机电</w:t>
      </w:r>
      <w:r>
        <w:rPr>
          <w:rFonts w:ascii="宋体" w:hAnsi="宋体" w:eastAsia="宋体" w:cs="Times New Roman"/>
          <w:color w:val="0D0D0D" w:themeColor="text1" w:themeTint="F2"/>
          <w:szCs w:val="21"/>
          <w14:textFill>
            <w14:solidFill>
              <w14:schemeClr w14:val="tx1">
                <w14:lumMod w14:val="95000"/>
                <w14:lumOff w14:val="5000"/>
              </w14:schemeClr>
            </w14:solidFill>
          </w14:textFill>
        </w:rPr>
        <w:t>设备企业开展完成实训实习 主要包括</w:t>
      </w:r>
      <w:r>
        <w:rPr>
          <w:rFonts w:hint="eastAsia" w:ascii="宋体" w:hAnsi="宋体" w:eastAsia="宋体" w:cs="Times New Roman"/>
          <w:color w:val="0D0D0D" w:themeColor="text1" w:themeTint="F2"/>
          <w:szCs w:val="21"/>
          <w14:textFill>
            <w14:solidFill>
              <w14:schemeClr w14:val="tx1">
                <w14:lumMod w14:val="95000"/>
                <w14:lumOff w14:val="5000"/>
              </w14:schemeClr>
            </w14:solidFill>
          </w14:textFill>
        </w:rPr>
        <w:t>电工电子、</w:t>
      </w:r>
      <w:r>
        <w:rPr>
          <w:rFonts w:ascii="宋体" w:hAnsi="宋体" w:eastAsia="宋体" w:cs="Times New Roman"/>
          <w:color w:val="0D0D0D" w:themeColor="text1" w:themeTint="F2"/>
          <w:szCs w:val="21"/>
          <w14:textFill>
            <w14:solidFill>
              <w14:schemeClr w14:val="tx1">
                <w14:lumMod w14:val="95000"/>
                <w14:lumOff w14:val="5000"/>
              </w14:schemeClr>
            </w14:solidFill>
          </w14:textFill>
        </w:rPr>
        <w:t>液压与气动</w:t>
      </w:r>
      <w:r>
        <w:rPr>
          <w:rFonts w:hint="eastAsia" w:ascii="宋体" w:hAnsi="宋体" w:eastAsia="宋体" w:cs="Times New Roman"/>
          <w:color w:val="0D0D0D" w:themeColor="text1" w:themeTint="F2"/>
          <w:szCs w:val="21"/>
          <w14:textFill>
            <w14:solidFill>
              <w14:schemeClr w14:val="tx1">
                <w14:lumMod w14:val="95000"/>
                <w14:lumOff w14:val="5000"/>
              </w14:schemeClr>
            </w14:solidFill>
          </w14:textFill>
        </w:rPr>
        <w:t>、</w:t>
      </w:r>
      <w:r>
        <w:rPr>
          <w:rFonts w:ascii="宋体" w:hAnsi="宋体" w:eastAsia="宋体" w:cs="Times New Roman"/>
          <w:color w:val="0D0D0D" w:themeColor="text1" w:themeTint="F2"/>
          <w:szCs w:val="21"/>
          <w14:textFill>
            <w14:solidFill>
              <w14:schemeClr w14:val="tx1">
                <w14:lumMod w14:val="95000"/>
                <w14:lumOff w14:val="5000"/>
              </w14:schemeClr>
            </w14:solidFill>
          </w14:textFill>
        </w:rPr>
        <w:t>数控技术</w:t>
      </w:r>
      <w:r>
        <w:rPr>
          <w:rFonts w:hint="eastAsia" w:ascii="宋体" w:hAnsi="宋体" w:eastAsia="宋体" w:cs="Times New Roman"/>
          <w:color w:val="0D0D0D" w:themeColor="text1" w:themeTint="F2"/>
          <w:szCs w:val="21"/>
          <w14:textFill>
            <w14:solidFill>
              <w14:schemeClr w14:val="tx1">
                <w14:lumMod w14:val="95000"/>
                <w14:lumOff w14:val="5000"/>
              </w14:schemeClr>
            </w14:solidFill>
          </w14:textFill>
        </w:rPr>
        <w:t>、工业控制等</w:t>
      </w:r>
      <w:r>
        <w:rPr>
          <w:rFonts w:ascii="宋体" w:hAnsi="宋体" w:eastAsia="宋体" w:cs="Times New Roman"/>
          <w:color w:val="0D0D0D" w:themeColor="text1" w:themeTint="F2"/>
          <w:szCs w:val="21"/>
          <w14:textFill>
            <w14:solidFill>
              <w14:schemeClr w14:val="tx1">
                <w14:lumMod w14:val="95000"/>
                <w14:lumOff w14:val="5000"/>
              </w14:schemeClr>
            </w14:solidFill>
          </w14:textFill>
        </w:rPr>
        <w:t>实训、随岗实习、顶岗实习等应严格执行《职业学校学</w:t>
      </w:r>
      <w:r>
        <w:rPr>
          <w:rFonts w:ascii="宋体" w:hAnsi="宋体" w:eastAsia="宋体" w:cs="宋体"/>
          <w:color w:val="0D0D0D" w:themeColor="text1" w:themeTint="F2"/>
          <w:szCs w:val="21"/>
          <w:lang w:bidi="zh-TW"/>
          <w14:textFill>
            <w14:solidFill>
              <w14:schemeClr w14:val="tx1">
                <w14:lumMod w14:val="95000"/>
                <w14:lumOff w14:val="5000"/>
              </w14:schemeClr>
            </w14:solidFill>
          </w14:textFill>
        </w:rPr>
        <w:t>生实习管理规定》，详见表</w:t>
      </w:r>
      <w:r>
        <w:rPr>
          <w:rFonts w:hint="eastAsia" w:ascii="宋体" w:hAnsi="宋体" w:eastAsia="宋体" w:cs="宋体"/>
          <w:color w:val="0D0D0D" w:themeColor="text1" w:themeTint="F2"/>
          <w:szCs w:val="21"/>
          <w:lang w:bidi="zh-TW"/>
          <w14:textFill>
            <w14:solidFill>
              <w14:schemeClr w14:val="tx1">
                <w14:lumMod w14:val="95000"/>
                <w14:lumOff w14:val="5000"/>
              </w14:schemeClr>
            </w14:solidFill>
          </w14:textFill>
        </w:rPr>
        <w:t>3。</w:t>
      </w:r>
    </w:p>
    <w:p>
      <w:pPr>
        <w:spacing w:line="360" w:lineRule="auto"/>
        <w:ind w:firstLine="422" w:firstLineChars="200"/>
        <w:jc w:val="right"/>
        <w:rPr>
          <w:rFonts w:ascii="宋体" w:hAnsi="宋体" w:eastAsia="宋体" w:cs="宋体"/>
          <w:b/>
          <w:color w:val="0D0D0D" w:themeColor="text1" w:themeTint="F2"/>
          <w:szCs w:val="21"/>
          <w:lang w:bidi="zh-TW"/>
          <w14:textFill>
            <w14:solidFill>
              <w14:schemeClr w14:val="tx1">
                <w14:lumMod w14:val="95000"/>
                <w14:lumOff w14:val="5000"/>
              </w14:schemeClr>
            </w14:solidFill>
          </w14:textFill>
        </w:rPr>
      </w:pPr>
      <w:r>
        <w:rPr>
          <w:rFonts w:hint="eastAsia" w:ascii="宋体" w:hAnsi="宋体" w:eastAsia="宋体" w:cs="宋体"/>
          <w:b/>
          <w:color w:val="0D0D0D" w:themeColor="text1" w:themeTint="F2"/>
          <w:szCs w:val="21"/>
          <w:lang w:bidi="zh-TW"/>
          <w14:textFill>
            <w14:solidFill>
              <w14:schemeClr w14:val="tx1">
                <w14:lumMod w14:val="95000"/>
                <w14:lumOff w14:val="5000"/>
              </w14:schemeClr>
            </w14:solidFill>
          </w14:textFill>
        </w:rPr>
        <w:t>表3 实践教学安排表                           单位：周</w:t>
      </w:r>
    </w:p>
    <w:tbl>
      <w:tblPr>
        <w:tblStyle w:val="12"/>
        <w:tblW w:w="832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09"/>
        <w:gridCol w:w="2207"/>
        <w:gridCol w:w="739"/>
        <w:gridCol w:w="598"/>
        <w:gridCol w:w="708"/>
        <w:gridCol w:w="709"/>
        <w:gridCol w:w="709"/>
        <w:gridCol w:w="654"/>
        <w:gridCol w:w="662"/>
        <w:gridCol w:w="62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Merge w:val="restart"/>
            <w:tcBorders>
              <w:top w:val="single" w:color="auto" w:sz="4"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r>
              <w:rPr>
                <w:rFonts w:ascii="宋体" w:hAnsi="宋体" w:eastAsia="宋体" w:cs="宋体"/>
                <w:b/>
                <w:color w:val="0D0D0D" w:themeColor="text1" w:themeTint="F2"/>
                <w:sz w:val="18"/>
                <w:szCs w:val="18"/>
                <w14:textFill>
                  <w14:solidFill>
                    <w14:schemeClr w14:val="tx1">
                      <w14:lumMod w14:val="95000"/>
                      <w14:lumOff w14:val="5000"/>
                    </w14:schemeClr>
                  </w14:solidFill>
                </w14:textFill>
              </w:rPr>
              <w:t>序号</w:t>
            </w:r>
          </w:p>
        </w:tc>
        <w:tc>
          <w:tcPr>
            <w:tcW w:w="2207" w:type="dxa"/>
            <w:vMerge w:val="restart"/>
            <w:tcBorders>
              <w:top w:val="single" w:color="auto" w:sz="4" w:space="0"/>
              <w:bottom w:val="single" w:color="auto" w:sz="6" w:space="0"/>
            </w:tcBorders>
            <w:shd w:val="clear" w:color="auto" w:fill="F1F1F1" w:themeFill="background1" w:themeFillShade="F2"/>
            <w:vAlign w:val="center"/>
          </w:tcPr>
          <w:p>
            <w:pPr>
              <w:spacing w:line="300" w:lineRule="auto"/>
              <w:ind w:firstLine="361" w:firstLineChars="200"/>
              <w:jc w:val="center"/>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r>
              <w:rPr>
                <w:rFonts w:ascii="宋体" w:hAnsi="宋体" w:eastAsia="宋体" w:cs="宋体"/>
                <w:b/>
                <w:color w:val="0D0D0D" w:themeColor="text1" w:themeTint="F2"/>
                <w:sz w:val="18"/>
                <w:szCs w:val="18"/>
                <w14:textFill>
                  <w14:solidFill>
                    <w14:schemeClr w14:val="tx1">
                      <w14:lumMod w14:val="95000"/>
                      <w14:lumOff w14:val="5000"/>
                    </w14:schemeClr>
                  </w14:solidFill>
                </w14:textFill>
              </w:rPr>
              <w:t>项目名称</w:t>
            </w:r>
          </w:p>
        </w:tc>
        <w:tc>
          <w:tcPr>
            <w:tcW w:w="739" w:type="dxa"/>
            <w:vMerge w:val="restart"/>
            <w:tcBorders>
              <w:top w:val="single" w:color="auto" w:sz="4"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r>
              <w:rPr>
                <w:rFonts w:ascii="宋体" w:hAnsi="宋体" w:eastAsia="宋体" w:cs="宋体"/>
                <w:b/>
                <w:color w:val="0D0D0D" w:themeColor="text1" w:themeTint="F2"/>
                <w:sz w:val="18"/>
                <w:szCs w:val="18"/>
                <w14:textFill>
                  <w14:solidFill>
                    <w14:schemeClr w14:val="tx1">
                      <w14:lumMod w14:val="95000"/>
                      <w14:lumOff w14:val="5000"/>
                    </w14:schemeClr>
                  </w14:solidFill>
                </w14:textFill>
              </w:rPr>
              <w:t>总周数</w:t>
            </w:r>
          </w:p>
        </w:tc>
        <w:tc>
          <w:tcPr>
            <w:tcW w:w="1306" w:type="dxa"/>
            <w:gridSpan w:val="2"/>
            <w:tcBorders>
              <w:top w:val="single" w:color="auto" w:sz="4" w:space="0"/>
              <w:bottom w:val="single" w:color="auto" w:sz="6" w:space="0"/>
            </w:tcBorders>
            <w:shd w:val="clear" w:color="auto" w:fill="F1F1F1" w:themeFill="background1" w:themeFillShade="F2"/>
            <w:vAlign w:val="center"/>
          </w:tcPr>
          <w:p>
            <w:pPr>
              <w:spacing w:line="300" w:lineRule="auto"/>
              <w:ind w:firstLine="361" w:firstLineChars="200"/>
              <w:jc w:val="center"/>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r>
              <w:rPr>
                <w:rFonts w:ascii="宋体" w:hAnsi="宋体" w:eastAsia="宋体" w:cs="宋体"/>
                <w:b/>
                <w:color w:val="0D0D0D" w:themeColor="text1" w:themeTint="F2"/>
                <w:sz w:val="18"/>
                <w:szCs w:val="18"/>
                <w14:textFill>
                  <w14:solidFill>
                    <w14:schemeClr w14:val="tx1">
                      <w14:lumMod w14:val="95000"/>
                      <w14:lumOff w14:val="5000"/>
                    </w14:schemeClr>
                  </w14:solidFill>
                </w14:textFill>
              </w:rPr>
              <w:t>第一学年</w:t>
            </w:r>
          </w:p>
        </w:tc>
        <w:tc>
          <w:tcPr>
            <w:tcW w:w="1418" w:type="dxa"/>
            <w:gridSpan w:val="2"/>
            <w:tcBorders>
              <w:top w:val="single" w:color="auto" w:sz="4" w:space="0"/>
              <w:bottom w:val="single" w:color="auto" w:sz="6" w:space="0"/>
            </w:tcBorders>
            <w:shd w:val="clear" w:color="auto" w:fill="F1F1F1" w:themeFill="background1" w:themeFillShade="F2"/>
            <w:vAlign w:val="center"/>
          </w:tcPr>
          <w:p>
            <w:pPr>
              <w:spacing w:line="300" w:lineRule="auto"/>
              <w:ind w:firstLine="361" w:firstLineChars="200"/>
              <w:jc w:val="center"/>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r>
              <w:rPr>
                <w:rFonts w:ascii="宋体" w:hAnsi="宋体" w:eastAsia="宋体" w:cs="宋体"/>
                <w:b/>
                <w:color w:val="0D0D0D" w:themeColor="text1" w:themeTint="F2"/>
                <w:sz w:val="18"/>
                <w:szCs w:val="18"/>
                <w14:textFill>
                  <w14:solidFill>
                    <w14:schemeClr w14:val="tx1">
                      <w14:lumMod w14:val="95000"/>
                      <w14:lumOff w14:val="5000"/>
                    </w14:schemeClr>
                  </w14:solidFill>
                </w14:textFill>
              </w:rPr>
              <w:t>第二学年</w:t>
            </w:r>
          </w:p>
        </w:tc>
        <w:tc>
          <w:tcPr>
            <w:tcW w:w="1316" w:type="dxa"/>
            <w:gridSpan w:val="2"/>
            <w:tcBorders>
              <w:top w:val="single" w:color="auto" w:sz="4" w:space="0"/>
              <w:bottom w:val="single" w:color="auto" w:sz="6" w:space="0"/>
            </w:tcBorders>
            <w:shd w:val="clear" w:color="auto" w:fill="F1F1F1" w:themeFill="background1" w:themeFillShade="F2"/>
            <w:vAlign w:val="center"/>
          </w:tcPr>
          <w:p>
            <w:pPr>
              <w:spacing w:line="300" w:lineRule="auto"/>
              <w:ind w:firstLine="361" w:firstLineChars="200"/>
              <w:jc w:val="center"/>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r>
              <w:rPr>
                <w:rFonts w:ascii="宋体" w:hAnsi="宋体" w:eastAsia="宋体" w:cs="宋体"/>
                <w:b/>
                <w:color w:val="0D0D0D" w:themeColor="text1" w:themeTint="F2"/>
                <w:sz w:val="18"/>
                <w:szCs w:val="18"/>
                <w14:textFill>
                  <w14:solidFill>
                    <w14:schemeClr w14:val="tx1">
                      <w14:lumMod w14:val="95000"/>
                      <w14:lumOff w14:val="5000"/>
                    </w14:schemeClr>
                  </w14:solidFill>
                </w14:textFill>
              </w:rPr>
              <w:t>第三学年</w:t>
            </w:r>
          </w:p>
        </w:tc>
        <w:tc>
          <w:tcPr>
            <w:tcW w:w="627" w:type="dxa"/>
            <w:vMerge w:val="restart"/>
            <w:tcBorders>
              <w:top w:val="single" w:color="auto" w:sz="4"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r>
              <w:rPr>
                <w:rFonts w:ascii="宋体" w:hAnsi="宋体" w:eastAsia="宋体" w:cs="宋体"/>
                <w:b/>
                <w:color w:val="0D0D0D" w:themeColor="text1" w:themeTint="F2"/>
                <w:sz w:val="18"/>
                <w:szCs w:val="18"/>
                <w14:textFill>
                  <w14:solidFill>
                    <w14:schemeClr w14:val="tx1">
                      <w14:lumMod w14:val="95000"/>
                      <w14:lumOff w14:val="5000"/>
                    </w14:schemeClr>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Merge w:val="continue"/>
            <w:tcBorders>
              <w:top w:val="single" w:color="auto" w:sz="6" w:space="0"/>
            </w:tcBorders>
            <w:vAlign w:val="center"/>
          </w:tcPr>
          <w:p>
            <w:pPr>
              <w:spacing w:line="300" w:lineRule="auto"/>
              <w:ind w:firstLine="361" w:firstLineChars="200"/>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p>
        </w:tc>
        <w:tc>
          <w:tcPr>
            <w:tcW w:w="2207" w:type="dxa"/>
            <w:vMerge w:val="continue"/>
            <w:tcBorders>
              <w:top w:val="single" w:color="auto" w:sz="6" w:space="0"/>
            </w:tcBorders>
            <w:vAlign w:val="bottom"/>
          </w:tcPr>
          <w:p>
            <w:pPr>
              <w:spacing w:line="300" w:lineRule="auto"/>
              <w:ind w:firstLine="361" w:firstLineChars="200"/>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p>
        </w:tc>
        <w:tc>
          <w:tcPr>
            <w:tcW w:w="739" w:type="dxa"/>
            <w:vMerge w:val="continue"/>
            <w:tcBorders>
              <w:top w:val="single" w:color="auto" w:sz="6" w:space="0"/>
            </w:tcBorders>
            <w:vAlign w:val="center"/>
          </w:tcPr>
          <w:p>
            <w:pPr>
              <w:spacing w:line="300" w:lineRule="auto"/>
              <w:ind w:firstLine="361" w:firstLineChars="200"/>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p>
        </w:tc>
        <w:tc>
          <w:tcPr>
            <w:tcW w:w="598" w:type="dxa"/>
            <w:tcBorders>
              <w:top w:val="single" w:color="auto" w:sz="6"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r>
              <w:rPr>
                <w:rFonts w:ascii="宋体" w:hAnsi="宋体" w:eastAsia="宋体" w:cs="宋体"/>
                <w:b/>
                <w:color w:val="0D0D0D" w:themeColor="text1" w:themeTint="F2"/>
                <w:sz w:val="18"/>
                <w:szCs w:val="18"/>
                <w14:textFill>
                  <w14:solidFill>
                    <w14:schemeClr w14:val="tx1">
                      <w14:lumMod w14:val="95000"/>
                      <w14:lumOff w14:val="5000"/>
                    </w14:schemeClr>
                  </w14:solidFill>
                </w14:textFill>
              </w:rPr>
              <w:t>1</w:t>
            </w:r>
          </w:p>
        </w:tc>
        <w:tc>
          <w:tcPr>
            <w:tcW w:w="708" w:type="dxa"/>
            <w:tcBorders>
              <w:top w:val="single" w:color="auto" w:sz="6"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r>
              <w:rPr>
                <w:rFonts w:ascii="宋体" w:hAnsi="宋体" w:eastAsia="宋体" w:cs="宋体"/>
                <w:b/>
                <w:color w:val="0D0D0D" w:themeColor="text1" w:themeTint="F2"/>
                <w:sz w:val="18"/>
                <w:szCs w:val="18"/>
                <w14:textFill>
                  <w14:solidFill>
                    <w14:schemeClr w14:val="tx1">
                      <w14:lumMod w14:val="95000"/>
                      <w14:lumOff w14:val="5000"/>
                    </w14:schemeClr>
                  </w14:solidFill>
                </w14:textFill>
              </w:rPr>
              <w:t>2</w:t>
            </w:r>
          </w:p>
        </w:tc>
        <w:tc>
          <w:tcPr>
            <w:tcW w:w="709" w:type="dxa"/>
            <w:tcBorders>
              <w:top w:val="single" w:color="auto" w:sz="6"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r>
              <w:rPr>
                <w:rFonts w:ascii="宋体" w:hAnsi="宋体" w:eastAsia="宋体" w:cs="宋体"/>
                <w:b/>
                <w:color w:val="0D0D0D" w:themeColor="text1" w:themeTint="F2"/>
                <w:sz w:val="18"/>
                <w:szCs w:val="18"/>
                <w14:textFill>
                  <w14:solidFill>
                    <w14:schemeClr w14:val="tx1">
                      <w14:lumMod w14:val="95000"/>
                      <w14:lumOff w14:val="5000"/>
                    </w14:schemeClr>
                  </w14:solidFill>
                </w14:textFill>
              </w:rPr>
              <w:t>3</w:t>
            </w:r>
          </w:p>
        </w:tc>
        <w:tc>
          <w:tcPr>
            <w:tcW w:w="709" w:type="dxa"/>
            <w:tcBorders>
              <w:top w:val="single" w:color="auto" w:sz="6"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r>
              <w:rPr>
                <w:rFonts w:ascii="宋体" w:hAnsi="宋体" w:eastAsia="宋体" w:cs="宋体"/>
                <w:b/>
                <w:color w:val="0D0D0D" w:themeColor="text1" w:themeTint="F2"/>
                <w:sz w:val="18"/>
                <w:szCs w:val="18"/>
                <w14:textFill>
                  <w14:solidFill>
                    <w14:schemeClr w14:val="tx1">
                      <w14:lumMod w14:val="95000"/>
                      <w14:lumOff w14:val="5000"/>
                    </w14:schemeClr>
                  </w14:solidFill>
                </w14:textFill>
              </w:rPr>
              <w:t>4</w:t>
            </w:r>
          </w:p>
        </w:tc>
        <w:tc>
          <w:tcPr>
            <w:tcW w:w="654" w:type="dxa"/>
            <w:tcBorders>
              <w:top w:val="single" w:color="auto" w:sz="6"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r>
              <w:rPr>
                <w:rFonts w:ascii="宋体" w:hAnsi="宋体" w:eastAsia="宋体" w:cs="宋体"/>
                <w:b/>
                <w:color w:val="0D0D0D" w:themeColor="text1" w:themeTint="F2"/>
                <w:sz w:val="18"/>
                <w:szCs w:val="18"/>
                <w14:textFill>
                  <w14:solidFill>
                    <w14:schemeClr w14:val="tx1">
                      <w14:lumMod w14:val="95000"/>
                      <w14:lumOff w14:val="5000"/>
                    </w14:schemeClr>
                  </w14:solidFill>
                </w14:textFill>
              </w:rPr>
              <w:t>5</w:t>
            </w:r>
          </w:p>
        </w:tc>
        <w:tc>
          <w:tcPr>
            <w:tcW w:w="662" w:type="dxa"/>
            <w:tcBorders>
              <w:top w:val="single" w:color="auto" w:sz="6" w:space="0"/>
              <w:bottom w:val="single" w:color="auto" w:sz="6" w:space="0"/>
            </w:tcBorders>
            <w:shd w:val="clear" w:color="auto" w:fill="F1F1F1" w:themeFill="background1" w:themeFillShade="F2"/>
            <w:vAlign w:val="center"/>
          </w:tcPr>
          <w:p>
            <w:pPr>
              <w:spacing w:line="300" w:lineRule="auto"/>
              <w:jc w:val="center"/>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r>
              <w:rPr>
                <w:rFonts w:ascii="宋体" w:hAnsi="宋体" w:eastAsia="宋体" w:cs="宋体"/>
                <w:b/>
                <w:color w:val="0D0D0D" w:themeColor="text1" w:themeTint="F2"/>
                <w:sz w:val="18"/>
                <w:szCs w:val="18"/>
                <w14:textFill>
                  <w14:solidFill>
                    <w14:schemeClr w14:val="tx1">
                      <w14:lumMod w14:val="95000"/>
                      <w14:lumOff w14:val="5000"/>
                    </w14:schemeClr>
                  </w14:solidFill>
                </w14:textFill>
              </w:rPr>
              <w:t>6</w:t>
            </w:r>
          </w:p>
        </w:tc>
        <w:tc>
          <w:tcPr>
            <w:tcW w:w="627" w:type="dxa"/>
            <w:vMerge w:val="continue"/>
            <w:tcBorders>
              <w:top w:val="single" w:color="auto" w:sz="6" w:space="0"/>
            </w:tcBorders>
            <w:vAlign w:val="center"/>
          </w:tcPr>
          <w:p>
            <w:pPr>
              <w:spacing w:line="300" w:lineRule="auto"/>
              <w:ind w:firstLine="361" w:firstLineChars="200"/>
              <w:jc w:val="center"/>
              <w:rPr>
                <w:rFonts w:ascii="宋体" w:hAnsi="宋体" w:eastAsia="宋体" w:cs="宋体"/>
                <w:b/>
                <w:color w:val="0D0D0D" w:themeColor="text1" w:themeTint="F2"/>
                <w:sz w:val="18"/>
                <w:szCs w:val="18"/>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ascii="宋体" w:hAnsi="宋体" w:eastAsia="宋体" w:cs="宋体"/>
                <w:color w:val="0D0D0D" w:themeColor="text1" w:themeTint="F2"/>
                <w:sz w:val="18"/>
                <w:szCs w:val="18"/>
                <w14:textFill>
                  <w14:solidFill>
                    <w14:schemeClr w14:val="tx1">
                      <w14:lumMod w14:val="95000"/>
                      <w14:lumOff w14:val="5000"/>
                    </w14:schemeClr>
                  </w14:solidFill>
                </w14:textFill>
              </w:rPr>
              <w:t>1</w:t>
            </w:r>
          </w:p>
        </w:tc>
        <w:tc>
          <w:tcPr>
            <w:tcW w:w="2207" w:type="dxa"/>
            <w:vAlign w:val="center"/>
          </w:tcPr>
          <w:p>
            <w:pPr>
              <w:spacing w:line="300" w:lineRule="auto"/>
              <w:jc w:val="left"/>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金工实训</w:t>
            </w:r>
          </w:p>
        </w:tc>
        <w:tc>
          <w:tcPr>
            <w:tcW w:w="73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2</w:t>
            </w:r>
          </w:p>
        </w:tc>
        <w:tc>
          <w:tcPr>
            <w:tcW w:w="598" w:type="dxa"/>
            <w:tcBorders>
              <w:top w:val="single" w:color="auto" w:sz="6" w:space="0"/>
            </w:tcBorders>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708" w:type="dxa"/>
            <w:tcBorders>
              <w:top w:val="single" w:color="auto" w:sz="6" w:space="0"/>
            </w:tcBorders>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2</w:t>
            </w:r>
          </w:p>
        </w:tc>
        <w:tc>
          <w:tcPr>
            <w:tcW w:w="709" w:type="dxa"/>
            <w:tcBorders>
              <w:top w:val="single" w:color="auto" w:sz="6" w:space="0"/>
            </w:tcBorders>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709" w:type="dxa"/>
            <w:tcBorders>
              <w:top w:val="single" w:color="auto" w:sz="6" w:space="0"/>
            </w:tcBorders>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654" w:type="dxa"/>
            <w:tcBorders>
              <w:top w:val="single" w:color="auto" w:sz="6" w:space="0"/>
            </w:tcBorders>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662" w:type="dxa"/>
            <w:tcBorders>
              <w:top w:val="single" w:color="auto" w:sz="6" w:space="0"/>
            </w:tcBorders>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627"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2</w:t>
            </w:r>
          </w:p>
        </w:tc>
        <w:tc>
          <w:tcPr>
            <w:tcW w:w="2207" w:type="dxa"/>
            <w:vAlign w:val="center"/>
          </w:tcPr>
          <w:p>
            <w:pPr>
              <w:spacing w:line="300" w:lineRule="auto"/>
              <w:jc w:val="left"/>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电工电子基础实训</w:t>
            </w:r>
          </w:p>
        </w:tc>
        <w:tc>
          <w:tcPr>
            <w:tcW w:w="73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2</w:t>
            </w:r>
          </w:p>
        </w:tc>
        <w:tc>
          <w:tcPr>
            <w:tcW w:w="598"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708"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2</w:t>
            </w:r>
          </w:p>
        </w:tc>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654"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662"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627"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3</w:t>
            </w:r>
          </w:p>
        </w:tc>
        <w:tc>
          <w:tcPr>
            <w:tcW w:w="2207" w:type="dxa"/>
            <w:vAlign w:val="center"/>
          </w:tcPr>
          <w:p>
            <w:pPr>
              <w:spacing w:line="300" w:lineRule="auto"/>
              <w:jc w:val="left"/>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电气动（MPS）实训</w:t>
            </w:r>
          </w:p>
        </w:tc>
        <w:tc>
          <w:tcPr>
            <w:tcW w:w="73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2</w:t>
            </w:r>
          </w:p>
        </w:tc>
        <w:tc>
          <w:tcPr>
            <w:tcW w:w="598"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708"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2</w:t>
            </w:r>
          </w:p>
        </w:tc>
        <w:tc>
          <w:tcPr>
            <w:tcW w:w="654"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662"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627"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4</w:t>
            </w:r>
          </w:p>
        </w:tc>
        <w:tc>
          <w:tcPr>
            <w:tcW w:w="2207" w:type="dxa"/>
            <w:vAlign w:val="center"/>
          </w:tcPr>
          <w:p>
            <w:pP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认识实习</w:t>
            </w:r>
          </w:p>
        </w:tc>
        <w:tc>
          <w:tcPr>
            <w:tcW w:w="73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2</w:t>
            </w:r>
          </w:p>
        </w:tc>
        <w:tc>
          <w:tcPr>
            <w:tcW w:w="598"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0.5</w:t>
            </w:r>
          </w:p>
        </w:tc>
        <w:tc>
          <w:tcPr>
            <w:tcW w:w="708"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0.5</w:t>
            </w:r>
          </w:p>
        </w:tc>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0.5</w:t>
            </w:r>
          </w:p>
        </w:tc>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0.5</w:t>
            </w:r>
          </w:p>
        </w:tc>
        <w:tc>
          <w:tcPr>
            <w:tcW w:w="654"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662"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627"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5</w:t>
            </w:r>
          </w:p>
        </w:tc>
        <w:tc>
          <w:tcPr>
            <w:tcW w:w="2207" w:type="dxa"/>
            <w:vAlign w:val="center"/>
          </w:tcPr>
          <w:p>
            <w:pP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岗位实习1</w:t>
            </w:r>
          </w:p>
        </w:tc>
        <w:tc>
          <w:tcPr>
            <w:tcW w:w="73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8</w:t>
            </w:r>
          </w:p>
        </w:tc>
        <w:tc>
          <w:tcPr>
            <w:tcW w:w="598"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708"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654"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8</w:t>
            </w:r>
          </w:p>
        </w:tc>
        <w:tc>
          <w:tcPr>
            <w:tcW w:w="662"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627"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97" w:hRule="exact"/>
          <w:jc w:val="center"/>
        </w:trPr>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6</w:t>
            </w:r>
          </w:p>
        </w:tc>
        <w:tc>
          <w:tcPr>
            <w:tcW w:w="2207" w:type="dxa"/>
            <w:vAlign w:val="center"/>
          </w:tcPr>
          <w:p>
            <w:pP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岗位实习2</w:t>
            </w:r>
          </w:p>
        </w:tc>
        <w:tc>
          <w:tcPr>
            <w:tcW w:w="73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14</w:t>
            </w:r>
          </w:p>
        </w:tc>
        <w:tc>
          <w:tcPr>
            <w:tcW w:w="598"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708"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654"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c>
          <w:tcPr>
            <w:tcW w:w="662"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14</w:t>
            </w:r>
          </w:p>
        </w:tc>
        <w:tc>
          <w:tcPr>
            <w:tcW w:w="627"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cantSplit/>
          <w:trHeight w:val="397" w:hRule="exact"/>
          <w:jc w:val="center"/>
        </w:trPr>
        <w:tc>
          <w:tcPr>
            <w:tcW w:w="2916" w:type="dxa"/>
            <w:gridSpan w:val="2"/>
            <w:vAlign w:val="center"/>
          </w:tcPr>
          <w:p>
            <w:pPr>
              <w:spacing w:line="300" w:lineRule="auto"/>
              <w:ind w:firstLine="360" w:firstLineChars="200"/>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ascii="宋体" w:hAnsi="宋体" w:eastAsia="宋体" w:cs="宋体"/>
                <w:color w:val="0D0D0D" w:themeColor="text1" w:themeTint="F2"/>
                <w:sz w:val="18"/>
                <w:szCs w:val="18"/>
                <w14:textFill>
                  <w14:solidFill>
                    <w14:schemeClr w14:val="tx1">
                      <w14:lumMod w14:val="95000"/>
                      <w14:lumOff w14:val="5000"/>
                    </w14:schemeClr>
                  </w14:solidFill>
                </w14:textFill>
              </w:rPr>
              <w:t>总  计</w:t>
            </w:r>
          </w:p>
        </w:tc>
        <w:tc>
          <w:tcPr>
            <w:tcW w:w="73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30</w:t>
            </w:r>
          </w:p>
        </w:tc>
        <w:tc>
          <w:tcPr>
            <w:tcW w:w="598"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0.5</w:t>
            </w:r>
          </w:p>
        </w:tc>
        <w:tc>
          <w:tcPr>
            <w:tcW w:w="708"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2.5</w:t>
            </w:r>
          </w:p>
        </w:tc>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2.5</w:t>
            </w:r>
          </w:p>
        </w:tc>
        <w:tc>
          <w:tcPr>
            <w:tcW w:w="709"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2.5</w:t>
            </w:r>
          </w:p>
        </w:tc>
        <w:tc>
          <w:tcPr>
            <w:tcW w:w="654"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8</w:t>
            </w:r>
          </w:p>
        </w:tc>
        <w:tc>
          <w:tcPr>
            <w:tcW w:w="662"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r>
              <w:rPr>
                <w:rFonts w:hint="eastAsia" w:ascii="宋体" w:hAnsi="宋体" w:eastAsia="宋体" w:cs="宋体"/>
                <w:color w:val="0D0D0D" w:themeColor="text1" w:themeTint="F2"/>
                <w:sz w:val="18"/>
                <w:szCs w:val="18"/>
                <w14:textFill>
                  <w14:solidFill>
                    <w14:schemeClr w14:val="tx1">
                      <w14:lumMod w14:val="95000"/>
                      <w14:lumOff w14:val="5000"/>
                    </w14:schemeClr>
                  </w14:solidFill>
                </w14:textFill>
              </w:rPr>
              <w:t>14</w:t>
            </w:r>
          </w:p>
        </w:tc>
        <w:tc>
          <w:tcPr>
            <w:tcW w:w="627" w:type="dxa"/>
            <w:vAlign w:val="center"/>
          </w:tcPr>
          <w:p>
            <w:pPr>
              <w:spacing w:line="300" w:lineRule="auto"/>
              <w:jc w:val="center"/>
              <w:rPr>
                <w:rFonts w:ascii="宋体" w:hAnsi="宋体" w:eastAsia="宋体" w:cs="宋体"/>
                <w:color w:val="0D0D0D" w:themeColor="text1" w:themeTint="F2"/>
                <w:sz w:val="18"/>
                <w:szCs w:val="18"/>
                <w14:textFill>
                  <w14:solidFill>
                    <w14:schemeClr w14:val="tx1">
                      <w14:lumMod w14:val="95000"/>
                      <w14:lumOff w14:val="5000"/>
                    </w14:schemeClr>
                  </w14:solidFill>
                </w14:textFill>
              </w:rPr>
            </w:pPr>
          </w:p>
        </w:tc>
      </w:tr>
    </w:tbl>
    <w:p>
      <w:pPr>
        <w:spacing w:line="300" w:lineRule="auto"/>
        <w:ind w:firstLine="420" w:firstLineChars="200"/>
        <w:rPr>
          <w:rFonts w:ascii="宋体" w:hAnsi="宋体" w:eastAsia="宋体" w:cs="Times New Roman"/>
          <w:color w:val="0D0D0D" w:themeColor="text1" w:themeTint="F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1"/>
          <w:lang w:bidi="zh-TW"/>
          <w14:textFill>
            <w14:solidFill>
              <w14:schemeClr w14:val="tx1">
                <w14:lumMod w14:val="95000"/>
                <w14:lumOff w14:val="5000"/>
              </w14:schemeClr>
            </w14:solidFill>
          </w14:textFill>
        </w:rPr>
        <w:t>（5）</w:t>
      </w:r>
      <w:r>
        <w:rPr>
          <w:rFonts w:ascii="宋体" w:hAnsi="宋体" w:eastAsia="宋体" w:cs="宋体"/>
          <w:color w:val="0D0D0D" w:themeColor="text1" w:themeTint="F2"/>
          <w:szCs w:val="21"/>
          <w:lang w:bidi="zh-TW"/>
          <w14:textFill>
            <w14:solidFill>
              <w14:schemeClr w14:val="tx1">
                <w14:lumMod w14:val="95000"/>
                <w14:lumOff w14:val="5000"/>
              </w14:schemeClr>
            </w14:solidFill>
          </w14:textFill>
        </w:rPr>
        <w:t>相关要</w:t>
      </w:r>
      <w:r>
        <w:rPr>
          <w:rFonts w:ascii="宋体" w:hAnsi="宋体" w:eastAsia="宋体" w:cs="Times New Roman"/>
          <w:color w:val="0D0D0D" w:themeColor="text1" w:themeTint="F2"/>
          <w:szCs w:val="21"/>
          <w14:textFill>
            <w14:solidFill>
              <w14:schemeClr w14:val="tx1">
                <w14:lumMod w14:val="95000"/>
                <w14:lumOff w14:val="5000"/>
              </w14:schemeClr>
            </w14:solidFill>
          </w14:textFill>
        </w:rPr>
        <w:t>求</w:t>
      </w:r>
    </w:p>
    <w:p>
      <w:pPr>
        <w:spacing w:line="300" w:lineRule="auto"/>
        <w:ind w:firstLine="420" w:firstLineChars="200"/>
        <w:rPr>
          <w:rFonts w:ascii="宋体" w:hAnsi="宋体" w:eastAsia="宋体" w:cs="宋体"/>
          <w:color w:val="0D0D0D" w:themeColor="text1" w:themeTint="F2"/>
          <w:szCs w:val="21"/>
          <w:lang w:bidi="zh-TW"/>
          <w14:textFill>
            <w14:solidFill>
              <w14:schemeClr w14:val="tx1">
                <w14:lumMod w14:val="95000"/>
                <w14:lumOff w14:val="5000"/>
              </w14:schemeClr>
            </w14:solidFill>
          </w14:textFill>
        </w:rPr>
      </w:pPr>
      <w:r>
        <w:rPr>
          <w:rFonts w:ascii="宋体" w:hAnsi="宋体" w:eastAsia="宋体" w:cs="Times New Roman"/>
          <w:color w:val="0D0D0D" w:themeColor="text1" w:themeTint="F2"/>
          <w:szCs w:val="21"/>
          <w14:textFill>
            <w14:solidFill>
              <w14:schemeClr w14:val="tx1">
                <w14:lumMod w14:val="95000"/>
                <w14:lumOff w14:val="5000"/>
              </w14:schemeClr>
            </w14:solidFill>
          </w14:textFill>
        </w:rPr>
        <w:t>学校统筹安排各类课程设置，注重理论与实践一体化教学；应结合实际，开设安全教 育、社会责任、绿色环保、管理等方面的选修课程、拓展课程或专题讲座（活动），并将有关内容融入专业课程教学；将创新创业教育融入专业课程教学和相关实践性教学；组织开展德育活动、志愿服务活</w:t>
      </w:r>
      <w:r>
        <w:rPr>
          <w:rFonts w:ascii="宋体" w:hAnsi="宋体" w:eastAsia="宋体" w:cs="宋体"/>
          <w:color w:val="0D0D0D" w:themeColor="text1" w:themeTint="F2"/>
          <w:szCs w:val="21"/>
          <w:lang w:bidi="zh-TW"/>
          <w14:textFill>
            <w14:solidFill>
              <w14:schemeClr w14:val="tx1">
                <w14:lumMod w14:val="95000"/>
                <w14:lumOff w14:val="5000"/>
              </w14:schemeClr>
            </w14:solidFill>
          </w14:textFill>
        </w:rPr>
        <w:t>动和其他实践活动</w:t>
      </w:r>
      <w:r>
        <w:rPr>
          <w:rFonts w:hint="eastAsia" w:ascii="宋体" w:hAnsi="宋体" w:eastAsia="宋体" w:cs="宋体"/>
          <w:color w:val="0D0D0D" w:themeColor="text1" w:themeTint="F2"/>
          <w:szCs w:val="21"/>
          <w:lang w:bidi="zh-TW"/>
          <w14:textFill>
            <w14:solidFill>
              <w14:schemeClr w14:val="tx1">
                <w14:lumMod w14:val="95000"/>
                <w14:lumOff w14:val="5000"/>
              </w14:schemeClr>
            </w14:solidFill>
          </w14:textFill>
        </w:rPr>
        <w:t>。</w:t>
      </w:r>
    </w:p>
    <w:p>
      <w:pPr>
        <w:pStyle w:val="3"/>
        <w:rPr>
          <w:rFonts w:ascii="Arial" w:hAnsi="Arial" w:eastAsia="黑体" w:cs="Times New Roman"/>
          <w:bCs w:val="0"/>
          <w:color w:val="000000"/>
          <w:sz w:val="24"/>
          <w:szCs w:val="28"/>
        </w:rPr>
      </w:pPr>
      <w:bookmarkStart w:id="23" w:name="_Toc105704415"/>
      <w:r>
        <w:rPr>
          <w:rFonts w:ascii="Arial" w:hAnsi="Arial" w:eastAsia="黑体" w:cs="Times New Roman"/>
          <w:bCs w:val="0"/>
          <w:color w:val="000000"/>
          <w:sz w:val="24"/>
          <w:szCs w:val="28"/>
        </w:rPr>
        <w:t>七</w:t>
      </w:r>
      <w:r>
        <w:rPr>
          <w:rFonts w:hint="eastAsia" w:ascii="Arial" w:hAnsi="Arial" w:eastAsia="黑体" w:cs="Times New Roman"/>
          <w:bCs w:val="0"/>
          <w:color w:val="000000"/>
          <w:sz w:val="24"/>
          <w:szCs w:val="28"/>
        </w:rPr>
        <w:t>、教学</w:t>
      </w:r>
      <w:r>
        <w:rPr>
          <w:rFonts w:ascii="Arial" w:hAnsi="Arial" w:eastAsia="黑体" w:cs="Times New Roman"/>
          <w:bCs w:val="0"/>
          <w:color w:val="000000"/>
          <w:sz w:val="24"/>
          <w:szCs w:val="28"/>
        </w:rPr>
        <w:t>进程总体安排</w:t>
      </w:r>
      <w:bookmarkEnd w:id="23"/>
    </w:p>
    <w:p>
      <w:pPr>
        <w:overflowPunct w:val="0"/>
        <w:adjustRightIn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教学进程针对教育教学实施进程进行了总体安排。下面主要由表格的形式列出本专业开设课程类别、课程性质、课程名称、课程编码、学时学分、学期课程安排、考核方式，并反映有关学时比例要求。</w:t>
      </w:r>
    </w:p>
    <w:p>
      <w:pPr>
        <w:overflowPunct w:val="0"/>
        <w:adjustRightInd w:val="0"/>
        <w:spacing w:line="360" w:lineRule="auto"/>
        <w:ind w:firstLine="420" w:firstLineChars="200"/>
        <w:rPr>
          <w:rFonts w:ascii="宋体" w:hAnsi="宋体" w:eastAsia="宋体" w:cs="Times New Roman"/>
          <w:szCs w:val="21"/>
        </w:rPr>
      </w:pPr>
    </w:p>
    <w:p>
      <w:pPr>
        <w:overflowPunct w:val="0"/>
        <w:adjustRightInd w:val="0"/>
        <w:spacing w:line="360" w:lineRule="auto"/>
        <w:ind w:firstLine="420" w:firstLineChars="200"/>
        <w:rPr>
          <w:rFonts w:ascii="宋体" w:hAnsi="宋体" w:eastAsia="宋体" w:cs="Times New Roman"/>
          <w:szCs w:val="21"/>
        </w:rPr>
      </w:pPr>
    </w:p>
    <w:p>
      <w:pPr>
        <w:overflowPunct w:val="0"/>
        <w:adjustRightInd w:val="0"/>
        <w:spacing w:line="360" w:lineRule="auto"/>
        <w:ind w:firstLine="422" w:firstLineChars="200"/>
        <w:outlineLvl w:val="0"/>
        <w:rPr>
          <w:rFonts w:ascii="宋体" w:hAnsi="宋体" w:eastAsia="宋体" w:cs="Times New Roman"/>
          <w:b/>
          <w:szCs w:val="21"/>
        </w:rPr>
      </w:pPr>
      <w:bookmarkStart w:id="24" w:name="_Toc105704416"/>
      <w:r>
        <w:rPr>
          <w:rFonts w:hint="eastAsia" w:ascii="宋体" w:hAnsi="宋体" w:eastAsia="宋体" w:cs="Times New Roman"/>
          <w:b/>
          <w:szCs w:val="21"/>
        </w:rPr>
        <w:t>（一）学时安排</w:t>
      </w:r>
      <w:bookmarkEnd w:id="24"/>
    </w:p>
    <w:p>
      <w:pPr>
        <w:spacing w:line="360" w:lineRule="auto"/>
        <w:ind w:firstLine="435"/>
        <w:jc w:val="center"/>
        <w:rPr>
          <w:rFonts w:ascii="宋体" w:hAnsi="宋体" w:eastAsia="宋体" w:cs="Times New Roman"/>
          <w:b/>
          <w:szCs w:val="21"/>
        </w:rPr>
      </w:pPr>
      <w:r>
        <w:rPr>
          <w:rFonts w:hint="eastAsia" w:ascii="宋体" w:hAnsi="宋体" w:eastAsia="宋体" w:cs="Times New Roman"/>
          <w:b/>
          <w:szCs w:val="21"/>
        </w:rPr>
        <w:t>表4</w:t>
      </w:r>
      <w:r>
        <w:rPr>
          <w:rFonts w:ascii="宋体" w:hAnsi="宋体" w:eastAsia="宋体" w:cs="Times New Roman"/>
          <w:b/>
          <w:szCs w:val="21"/>
        </w:rPr>
        <w:t xml:space="preserve">  </w:t>
      </w:r>
      <w:r>
        <w:rPr>
          <w:rFonts w:hint="eastAsia" w:ascii="宋体" w:hAnsi="宋体" w:eastAsia="宋体" w:cs="Times New Roman"/>
          <w:b/>
          <w:szCs w:val="21"/>
        </w:rPr>
        <w:t>教学活动周进程安排表</w:t>
      </w:r>
      <w:r>
        <w:rPr>
          <w:rFonts w:ascii="宋体" w:hAnsi="宋体" w:eastAsia="宋体" w:cs="Times New Roman"/>
          <w:b/>
          <w:szCs w:val="21"/>
        </w:rPr>
        <w:t xml:space="preserve">               </w:t>
      </w:r>
      <w:r>
        <w:rPr>
          <w:rFonts w:hint="eastAsia" w:ascii="宋体" w:hAnsi="宋体" w:eastAsia="宋体" w:cs="Times New Roman"/>
          <w:b/>
          <w:szCs w:val="21"/>
        </w:rPr>
        <w:t>单位：周</w:t>
      </w:r>
    </w:p>
    <w:tbl>
      <w:tblPr>
        <w:tblStyle w:val="12"/>
        <w:tblW w:w="8804" w:type="dxa"/>
        <w:jc w:val="center"/>
        <w:tblLayout w:type="autofit"/>
        <w:tblCellMar>
          <w:top w:w="0" w:type="dxa"/>
          <w:left w:w="0" w:type="dxa"/>
          <w:bottom w:w="0" w:type="dxa"/>
          <w:right w:w="0" w:type="dxa"/>
        </w:tblCellMar>
      </w:tblPr>
      <w:tblGrid>
        <w:gridCol w:w="1080"/>
        <w:gridCol w:w="750"/>
        <w:gridCol w:w="750"/>
        <w:gridCol w:w="750"/>
        <w:gridCol w:w="750"/>
        <w:gridCol w:w="750"/>
        <w:gridCol w:w="750"/>
        <w:gridCol w:w="956"/>
        <w:gridCol w:w="709"/>
        <w:gridCol w:w="850"/>
        <w:gridCol w:w="709"/>
      </w:tblGrid>
      <w:tr>
        <w:tblPrEx>
          <w:tblCellMar>
            <w:top w:w="0" w:type="dxa"/>
            <w:left w:w="0" w:type="dxa"/>
            <w:bottom w:w="0" w:type="dxa"/>
            <w:right w:w="0" w:type="dxa"/>
          </w:tblCellMar>
        </w:tblPrEx>
        <w:trPr>
          <w:trHeight w:val="951"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学期</w:t>
            </w:r>
          </w:p>
        </w:tc>
        <w:tc>
          <w:tcPr>
            <w:tcW w:w="75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入学</w:t>
            </w:r>
          </w:p>
          <w:p>
            <w:pPr>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教育</w:t>
            </w:r>
          </w:p>
        </w:tc>
        <w:tc>
          <w:tcPr>
            <w:tcW w:w="75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军 训</w:t>
            </w:r>
          </w:p>
        </w:tc>
        <w:tc>
          <w:tcPr>
            <w:tcW w:w="75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课堂</w:t>
            </w:r>
          </w:p>
          <w:p>
            <w:pPr>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教学</w:t>
            </w:r>
          </w:p>
        </w:tc>
        <w:tc>
          <w:tcPr>
            <w:tcW w:w="75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实训（实验）</w:t>
            </w:r>
          </w:p>
        </w:tc>
        <w:tc>
          <w:tcPr>
            <w:tcW w:w="75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实习</w:t>
            </w:r>
          </w:p>
        </w:tc>
        <w:tc>
          <w:tcPr>
            <w:tcW w:w="75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考 试</w:t>
            </w:r>
          </w:p>
        </w:tc>
        <w:tc>
          <w:tcPr>
            <w:tcW w:w="956"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毕业设计</w:t>
            </w:r>
          </w:p>
        </w:tc>
        <w:tc>
          <w:tcPr>
            <w:tcW w:w="709"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机 动</w:t>
            </w:r>
          </w:p>
        </w:tc>
        <w:tc>
          <w:tcPr>
            <w:tcW w:w="85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假 期</w:t>
            </w:r>
          </w:p>
        </w:tc>
        <w:tc>
          <w:tcPr>
            <w:tcW w:w="709"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tcMar>
              <w:top w:w="15" w:type="dxa"/>
              <w:left w:w="15" w:type="dxa"/>
              <w:bottom w:w="0"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总 计</w:t>
            </w:r>
          </w:p>
        </w:tc>
      </w:tr>
      <w:tr>
        <w:tblPrEx>
          <w:tblCellMar>
            <w:top w:w="0" w:type="dxa"/>
            <w:left w:w="0" w:type="dxa"/>
            <w:bottom w:w="0" w:type="dxa"/>
            <w:right w:w="0" w:type="dxa"/>
          </w:tblCellMar>
        </w:tblPrEx>
        <w:trPr>
          <w:trHeight w:val="285" w:hRule="atLeast"/>
          <w:jc w:val="center"/>
        </w:trPr>
        <w:tc>
          <w:tcPr>
            <w:tcW w:w="108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第一学期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5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ascii="宋体" w:hAnsi="宋体" w:eastAsia="宋体" w:cs="宋体"/>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r>
              <w:rPr>
                <w:rFonts w:ascii="宋体" w:hAnsi="宋体" w:eastAsia="宋体" w:cs="宋体"/>
                <w:color w:val="000000"/>
                <w:sz w:val="18"/>
                <w:szCs w:val="18"/>
              </w:rPr>
              <w:t>6</w:t>
            </w:r>
          </w:p>
        </w:tc>
        <w:tc>
          <w:tcPr>
            <w:tcW w:w="75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50" w:type="dxa"/>
            <w:tcBorders>
              <w:top w:val="nil"/>
              <w:left w:val="single" w:color="000000" w:sz="8" w:space="0"/>
              <w:bottom w:val="single" w:color="000000" w:sz="8" w:space="0"/>
              <w:right w:val="single" w:color="000000" w:sz="8" w:space="0"/>
            </w:tcBorders>
          </w:tcPr>
          <w:p>
            <w:pPr>
              <w:jc w:val="center"/>
              <w:rPr>
                <w:rFonts w:ascii="宋体" w:hAnsi="宋体" w:eastAsia="宋体" w:cs="宋体"/>
                <w:color w:val="000000"/>
                <w:sz w:val="18"/>
                <w:szCs w:val="18"/>
              </w:rPr>
            </w:pPr>
            <w:r>
              <w:rPr>
                <w:rFonts w:hint="eastAsia" w:ascii="宋体" w:hAnsi="宋体" w:eastAsia="宋体" w:cs="宋体"/>
                <w:color w:val="000000"/>
                <w:sz w:val="18"/>
                <w:szCs w:val="18"/>
              </w:rPr>
              <w:t>0.5</w:t>
            </w:r>
          </w:p>
        </w:tc>
        <w:tc>
          <w:tcPr>
            <w:tcW w:w="75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956" w:type="dxa"/>
            <w:tcBorders>
              <w:top w:val="nil"/>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09"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2</w:t>
            </w:r>
          </w:p>
        </w:tc>
        <w:tc>
          <w:tcPr>
            <w:tcW w:w="85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w:t>
            </w:r>
          </w:p>
        </w:tc>
      </w:tr>
      <w:tr>
        <w:tblPrEx>
          <w:tblCellMar>
            <w:top w:w="0" w:type="dxa"/>
            <w:left w:w="0" w:type="dxa"/>
            <w:bottom w:w="0" w:type="dxa"/>
            <w:right w:w="0"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第二学期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ascii="宋体" w:hAnsi="宋体" w:eastAsia="宋体" w:cs="宋体"/>
                <w:color w:val="000000"/>
                <w:sz w:val="18"/>
                <w:szCs w:val="18"/>
              </w:rPr>
              <w:t>（2）</w:t>
            </w:r>
          </w:p>
        </w:tc>
        <w:tc>
          <w:tcPr>
            <w:tcW w:w="75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750"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18"/>
                <w:szCs w:val="18"/>
              </w:rPr>
            </w:pPr>
            <w:r>
              <w:rPr>
                <w:rFonts w:hint="eastAsia" w:ascii="宋体" w:hAnsi="宋体" w:eastAsia="宋体" w:cs="宋体"/>
                <w:color w:val="000000"/>
                <w:sz w:val="18"/>
                <w:szCs w:val="18"/>
              </w:rPr>
              <w:t>0.5</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956"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0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8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709"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28</w:t>
            </w:r>
          </w:p>
        </w:tc>
      </w:tr>
      <w:tr>
        <w:tblPrEx>
          <w:tblCellMar>
            <w:top w:w="0" w:type="dxa"/>
            <w:left w:w="0" w:type="dxa"/>
            <w:bottom w:w="0" w:type="dxa"/>
            <w:right w:w="0"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第三学期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5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750"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18"/>
                <w:szCs w:val="18"/>
              </w:rPr>
            </w:pPr>
            <w:r>
              <w:rPr>
                <w:rFonts w:hint="eastAsia" w:ascii="宋体" w:hAnsi="宋体" w:eastAsia="宋体" w:cs="宋体"/>
                <w:color w:val="000000"/>
                <w:sz w:val="18"/>
                <w:szCs w:val="18"/>
              </w:rPr>
              <w:t>0.5</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956"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0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8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w:t>
            </w:r>
          </w:p>
        </w:tc>
      </w:tr>
      <w:tr>
        <w:tblPrEx>
          <w:tblCellMar>
            <w:top w:w="0" w:type="dxa"/>
            <w:left w:w="0" w:type="dxa"/>
            <w:bottom w:w="0" w:type="dxa"/>
            <w:right w:w="0"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第四学期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5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750"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18"/>
                <w:szCs w:val="18"/>
              </w:rPr>
            </w:pPr>
            <w:r>
              <w:rPr>
                <w:rFonts w:hint="eastAsia" w:ascii="宋体" w:hAnsi="宋体" w:eastAsia="宋体" w:cs="宋体"/>
                <w:color w:val="000000"/>
                <w:sz w:val="18"/>
                <w:szCs w:val="18"/>
              </w:rPr>
              <w:t>0.5</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956"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0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8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709"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28</w:t>
            </w:r>
          </w:p>
        </w:tc>
      </w:tr>
      <w:tr>
        <w:tblPrEx>
          <w:tblCellMar>
            <w:top w:w="0" w:type="dxa"/>
            <w:left w:w="0" w:type="dxa"/>
            <w:bottom w:w="0" w:type="dxa"/>
            <w:right w:w="0"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第五学期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5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18"/>
                <w:szCs w:val="18"/>
              </w:rPr>
            </w:pPr>
            <w:r>
              <w:rPr>
                <w:rFonts w:ascii="宋体" w:hAnsi="宋体" w:eastAsia="宋体" w:cs="宋体"/>
                <w:color w:val="000000"/>
                <w:sz w:val="18"/>
                <w:szCs w:val="18"/>
              </w:rPr>
              <w:t>8</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956"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0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8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w:t>
            </w:r>
          </w:p>
        </w:tc>
      </w:tr>
      <w:tr>
        <w:tblPrEx>
          <w:tblCellMar>
            <w:top w:w="0" w:type="dxa"/>
            <w:left w:w="0" w:type="dxa"/>
            <w:bottom w:w="0" w:type="dxa"/>
            <w:right w:w="0"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第六学期</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5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50"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18"/>
                <w:szCs w:val="18"/>
              </w:rPr>
            </w:pPr>
            <w:r>
              <w:rPr>
                <w:rFonts w:hint="eastAsia" w:ascii="宋体" w:hAnsi="宋体" w:eastAsia="宋体" w:cs="宋体"/>
                <w:color w:val="000000"/>
                <w:sz w:val="18"/>
                <w:szCs w:val="18"/>
              </w:rPr>
              <w:t>14</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956"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0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8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709"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kern w:val="0"/>
                <w:sz w:val="18"/>
                <w:szCs w:val="18"/>
                <w:lang w:bidi="ar"/>
              </w:rPr>
              <w:t>20</w:t>
            </w:r>
          </w:p>
        </w:tc>
      </w:tr>
      <w:tr>
        <w:tblPrEx>
          <w:tblCellMar>
            <w:top w:w="0" w:type="dxa"/>
            <w:left w:w="0" w:type="dxa"/>
            <w:bottom w:w="0" w:type="dxa"/>
            <w:right w:w="0"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总计</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1</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（2）</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74</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6</w:t>
            </w:r>
          </w:p>
        </w:tc>
        <w:tc>
          <w:tcPr>
            <w:tcW w:w="750"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18"/>
                <w:szCs w:val="18"/>
              </w:rPr>
            </w:pPr>
            <w:r>
              <w:rPr>
                <w:rFonts w:ascii="宋体" w:hAnsi="宋体" w:eastAsia="宋体" w:cs="宋体"/>
                <w:color w:val="000000"/>
                <w:sz w:val="18"/>
                <w:szCs w:val="18"/>
              </w:rPr>
              <w:t>24</w:t>
            </w:r>
          </w:p>
        </w:tc>
        <w:tc>
          <w:tcPr>
            <w:tcW w:w="7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5</w:t>
            </w:r>
          </w:p>
        </w:tc>
        <w:tc>
          <w:tcPr>
            <w:tcW w:w="956"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70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10</w:t>
            </w:r>
          </w:p>
        </w:tc>
        <w:tc>
          <w:tcPr>
            <w:tcW w:w="85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ascii="宋体" w:hAnsi="宋体" w:eastAsia="宋体" w:cs="宋体"/>
                <w:color w:val="000000"/>
                <w:sz w:val="18"/>
                <w:szCs w:val="18"/>
              </w:rPr>
              <w:t>28</w:t>
            </w:r>
          </w:p>
        </w:tc>
        <w:tc>
          <w:tcPr>
            <w:tcW w:w="70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148</w:t>
            </w:r>
          </w:p>
        </w:tc>
      </w:tr>
    </w:tbl>
    <w:p>
      <w:pPr>
        <w:spacing w:line="360" w:lineRule="auto"/>
        <w:jc w:val="left"/>
        <w:rPr>
          <w:rFonts w:ascii="宋体" w:hAnsi="宋体" w:eastAsia="宋体" w:cs="宋体"/>
          <w:color w:val="000000"/>
          <w:sz w:val="18"/>
          <w:szCs w:val="18"/>
        </w:rPr>
      </w:pPr>
      <w:r>
        <w:rPr>
          <w:rFonts w:hint="eastAsia" w:ascii="宋体" w:hAnsi="宋体" w:eastAsia="宋体" w:cs="宋体"/>
          <w:color w:val="000000"/>
          <w:sz w:val="18"/>
          <w:szCs w:val="18"/>
        </w:rPr>
        <w:t>说明：</w:t>
      </w:r>
      <w:r>
        <w:rPr>
          <w:rFonts w:ascii="宋体" w:hAnsi="宋体" w:eastAsia="宋体" w:cs="宋体"/>
          <w:color w:val="000000"/>
          <w:sz w:val="18"/>
          <w:szCs w:val="18"/>
        </w:rPr>
        <w:t xml:space="preserve"> 1. </w:t>
      </w:r>
      <w:r>
        <w:rPr>
          <w:rFonts w:hint="eastAsia" w:ascii="宋体" w:hAnsi="宋体" w:eastAsia="宋体" w:cs="宋体"/>
          <w:color w:val="000000"/>
          <w:sz w:val="18"/>
          <w:szCs w:val="18"/>
        </w:rPr>
        <w:t>军事理论与训练</w:t>
      </w:r>
      <w:r>
        <w:rPr>
          <w:rFonts w:ascii="宋体" w:hAnsi="宋体" w:eastAsia="宋体" w:cs="宋体"/>
          <w:color w:val="000000"/>
          <w:sz w:val="18"/>
          <w:szCs w:val="18"/>
        </w:rPr>
        <w:t>2</w:t>
      </w:r>
      <w:r>
        <w:rPr>
          <w:rFonts w:hint="eastAsia" w:ascii="宋体" w:hAnsi="宋体" w:eastAsia="宋体" w:cs="宋体"/>
          <w:color w:val="000000"/>
          <w:sz w:val="18"/>
          <w:szCs w:val="18"/>
        </w:rPr>
        <w:t>周，占学分，不占学时；</w:t>
      </w:r>
    </w:p>
    <w:p>
      <w:pPr>
        <w:spacing w:line="360" w:lineRule="auto"/>
        <w:jc w:val="left"/>
        <w:rPr>
          <w:rFonts w:ascii="宋体" w:hAnsi="宋体" w:eastAsia="宋体" w:cs="宋体"/>
          <w:color w:val="000000"/>
          <w:sz w:val="18"/>
          <w:szCs w:val="18"/>
        </w:rPr>
      </w:pPr>
      <w:r>
        <w:rPr>
          <w:rFonts w:ascii="宋体" w:hAnsi="宋体" w:eastAsia="宋体" w:cs="宋体"/>
          <w:color w:val="000000"/>
          <w:sz w:val="18"/>
          <w:szCs w:val="18"/>
        </w:rPr>
        <w:t xml:space="preserve">      </w:t>
      </w:r>
      <w:r>
        <w:rPr>
          <w:rFonts w:hint="eastAsia" w:ascii="宋体" w:hAnsi="宋体" w:eastAsia="宋体" w:cs="宋体"/>
          <w:color w:val="000000"/>
          <w:sz w:val="18"/>
          <w:szCs w:val="18"/>
        </w:rPr>
        <w:t xml:space="preserve"> </w:t>
      </w:r>
      <w:r>
        <w:rPr>
          <w:rFonts w:ascii="宋体" w:hAnsi="宋体" w:eastAsia="宋体" w:cs="宋体"/>
          <w:color w:val="000000"/>
          <w:sz w:val="18"/>
          <w:szCs w:val="18"/>
        </w:rPr>
        <w:t xml:space="preserve">2. </w:t>
      </w:r>
      <w:r>
        <w:rPr>
          <w:rFonts w:hint="eastAsia" w:ascii="宋体" w:hAnsi="宋体" w:eastAsia="宋体" w:cs="宋体"/>
          <w:color w:val="000000"/>
          <w:sz w:val="18"/>
          <w:szCs w:val="18"/>
        </w:rPr>
        <w:t>第一学期安排新生入学教育</w:t>
      </w:r>
      <w:r>
        <w:rPr>
          <w:rFonts w:ascii="宋体" w:hAnsi="宋体" w:eastAsia="宋体" w:cs="宋体"/>
          <w:color w:val="000000"/>
          <w:sz w:val="18"/>
          <w:szCs w:val="18"/>
        </w:rPr>
        <w:t>1</w:t>
      </w:r>
      <w:r>
        <w:rPr>
          <w:rFonts w:hint="eastAsia" w:ascii="宋体" w:hAnsi="宋体" w:eastAsia="宋体" w:cs="宋体"/>
          <w:color w:val="000000"/>
          <w:sz w:val="18"/>
          <w:szCs w:val="18"/>
        </w:rPr>
        <w:t>周。</w:t>
      </w:r>
    </w:p>
    <w:p>
      <w:pPr>
        <w:spacing w:line="360" w:lineRule="auto"/>
        <w:jc w:val="left"/>
        <w:rPr>
          <w:rFonts w:ascii="宋体" w:hAnsi="宋体" w:eastAsia="宋体" w:cs="宋体"/>
          <w:color w:val="000000"/>
          <w:szCs w:val="21"/>
        </w:rPr>
      </w:pPr>
    </w:p>
    <w:p>
      <w:pPr>
        <w:overflowPunct w:val="0"/>
        <w:adjustRightInd w:val="0"/>
        <w:spacing w:line="360" w:lineRule="auto"/>
        <w:ind w:firstLine="422" w:firstLineChars="200"/>
        <w:outlineLvl w:val="0"/>
        <w:rPr>
          <w:rFonts w:ascii="宋体" w:hAnsi="宋体" w:eastAsia="宋体" w:cs="Times New Roman"/>
          <w:b/>
          <w:szCs w:val="21"/>
        </w:rPr>
      </w:pPr>
      <w:bookmarkStart w:id="25" w:name="_Toc105704417"/>
      <w:r>
        <w:rPr>
          <w:rFonts w:ascii="宋体" w:hAnsi="宋体" w:eastAsia="宋体" w:cs="Times New Roman"/>
          <w:b/>
          <w:szCs w:val="21"/>
        </w:rPr>
        <w:t>（二）教学进程表</w:t>
      </w:r>
      <w:bookmarkEnd w:id="25"/>
    </w:p>
    <w:p>
      <w:pPr>
        <w:spacing w:line="360" w:lineRule="auto"/>
        <w:ind w:firstLine="422" w:firstLineChars="200"/>
        <w:jc w:val="center"/>
        <w:rPr>
          <w:rFonts w:ascii="仿宋" w:hAnsi="仿宋" w:eastAsia="仿宋" w:cs="宋体"/>
          <w:b/>
          <w:szCs w:val="21"/>
        </w:rPr>
      </w:pPr>
      <w:r>
        <w:rPr>
          <w:rFonts w:hint="eastAsia" w:ascii="仿宋" w:hAnsi="仿宋" w:eastAsia="仿宋" w:cs="宋体"/>
          <w:b/>
          <w:szCs w:val="21"/>
        </w:rPr>
        <w:t>表5 机电一体化技术专业（中德合作）教学进程表</w:t>
      </w:r>
    </w:p>
    <w:tbl>
      <w:tblPr>
        <w:tblStyle w:val="12"/>
        <w:tblW w:w="83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434"/>
        <w:gridCol w:w="2465"/>
        <w:gridCol w:w="344"/>
        <w:gridCol w:w="395"/>
        <w:gridCol w:w="978"/>
        <w:gridCol w:w="686"/>
        <w:gridCol w:w="441"/>
        <w:gridCol w:w="538"/>
        <w:gridCol w:w="500"/>
        <w:gridCol w:w="541"/>
        <w:gridCol w:w="489"/>
        <w:gridCol w:w="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10" w:hRule="atLeast"/>
        </w:trPr>
        <w:tc>
          <w:tcPr>
            <w:tcW w:w="434" w:type="dxa"/>
            <w:vMerge w:val="restart"/>
            <w:shd w:val="clear" w:color="auto" w:fill="FFFFFF"/>
            <w:vAlign w:val="center"/>
          </w:tcPr>
          <w:p>
            <w:pPr>
              <w:widowControl/>
              <w:jc w:val="center"/>
              <w:textAlignment w:val="center"/>
              <w:rPr>
                <w:rFonts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课程</w:t>
            </w:r>
          </w:p>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类别</w:t>
            </w:r>
          </w:p>
        </w:tc>
        <w:tc>
          <w:tcPr>
            <w:tcW w:w="2465" w:type="dxa"/>
            <w:vMerge w:val="restart"/>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课程名称</w:t>
            </w:r>
          </w:p>
        </w:tc>
        <w:tc>
          <w:tcPr>
            <w:tcW w:w="344" w:type="dxa"/>
            <w:vMerge w:val="restart"/>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学分</w:t>
            </w:r>
          </w:p>
        </w:tc>
        <w:tc>
          <w:tcPr>
            <w:tcW w:w="395" w:type="dxa"/>
            <w:vMerge w:val="restart"/>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总学时</w:t>
            </w:r>
          </w:p>
        </w:tc>
        <w:tc>
          <w:tcPr>
            <w:tcW w:w="978" w:type="dxa"/>
            <w:vMerge w:val="restart"/>
            <w:shd w:val="clear" w:color="auto" w:fill="FFFFFF"/>
            <w:vAlign w:val="center"/>
          </w:tcPr>
          <w:p>
            <w:pPr>
              <w:widowControl/>
              <w:jc w:val="center"/>
              <w:textAlignment w:val="center"/>
              <w:rPr>
                <w:rFonts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考试</w:t>
            </w:r>
          </w:p>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（考查）</w:t>
            </w:r>
          </w:p>
        </w:tc>
        <w:tc>
          <w:tcPr>
            <w:tcW w:w="686" w:type="dxa"/>
            <w:vMerge w:val="restart"/>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实践学时</w:t>
            </w:r>
          </w:p>
        </w:tc>
        <w:tc>
          <w:tcPr>
            <w:tcW w:w="3060" w:type="dxa"/>
            <w:gridSpan w:val="6"/>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各学期周数、学分分配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55" w:hRule="atLeast"/>
        </w:trPr>
        <w:tc>
          <w:tcPr>
            <w:tcW w:w="434" w:type="dxa"/>
            <w:vMerge w:val="continue"/>
            <w:shd w:val="clear" w:color="auto" w:fill="FFFFFF"/>
            <w:vAlign w:val="center"/>
          </w:tcPr>
          <w:p>
            <w:pPr>
              <w:jc w:val="center"/>
              <w:rPr>
                <w:rFonts w:ascii="宋体" w:hAnsi="宋体" w:eastAsia="宋体" w:cs="宋体"/>
                <w:b/>
                <w:bCs/>
                <w:color w:val="000000"/>
                <w:sz w:val="18"/>
                <w:szCs w:val="18"/>
              </w:rPr>
            </w:pPr>
          </w:p>
        </w:tc>
        <w:tc>
          <w:tcPr>
            <w:tcW w:w="2465" w:type="dxa"/>
            <w:vMerge w:val="continue"/>
            <w:shd w:val="clear" w:color="auto" w:fill="FFFFFF"/>
            <w:vAlign w:val="center"/>
          </w:tcPr>
          <w:p>
            <w:pPr>
              <w:jc w:val="center"/>
              <w:rPr>
                <w:rFonts w:ascii="宋体" w:hAnsi="宋体" w:eastAsia="宋体" w:cs="宋体"/>
                <w:b/>
                <w:bCs/>
                <w:color w:val="000000"/>
                <w:sz w:val="18"/>
                <w:szCs w:val="18"/>
              </w:rPr>
            </w:pPr>
          </w:p>
        </w:tc>
        <w:tc>
          <w:tcPr>
            <w:tcW w:w="344" w:type="dxa"/>
            <w:vMerge w:val="continue"/>
            <w:shd w:val="clear" w:color="auto" w:fill="FFFFFF"/>
            <w:vAlign w:val="center"/>
          </w:tcPr>
          <w:p>
            <w:pPr>
              <w:jc w:val="center"/>
              <w:rPr>
                <w:rFonts w:ascii="宋体" w:hAnsi="宋体" w:eastAsia="宋体" w:cs="宋体"/>
                <w:b/>
                <w:bCs/>
                <w:color w:val="000000"/>
                <w:sz w:val="18"/>
                <w:szCs w:val="18"/>
              </w:rPr>
            </w:pPr>
          </w:p>
        </w:tc>
        <w:tc>
          <w:tcPr>
            <w:tcW w:w="395" w:type="dxa"/>
            <w:vMerge w:val="continue"/>
            <w:shd w:val="clear" w:color="auto" w:fill="FFFFFF"/>
            <w:vAlign w:val="center"/>
          </w:tcPr>
          <w:p>
            <w:pPr>
              <w:jc w:val="center"/>
              <w:rPr>
                <w:rFonts w:ascii="宋体" w:hAnsi="宋体" w:eastAsia="宋体" w:cs="宋体"/>
                <w:b/>
                <w:bCs/>
                <w:color w:val="000000"/>
                <w:sz w:val="18"/>
                <w:szCs w:val="18"/>
              </w:rPr>
            </w:pPr>
          </w:p>
        </w:tc>
        <w:tc>
          <w:tcPr>
            <w:tcW w:w="978" w:type="dxa"/>
            <w:vMerge w:val="continue"/>
            <w:shd w:val="clear" w:color="auto" w:fill="FFFFFF"/>
            <w:vAlign w:val="center"/>
          </w:tcPr>
          <w:p>
            <w:pPr>
              <w:jc w:val="center"/>
              <w:rPr>
                <w:rFonts w:ascii="宋体" w:hAnsi="宋体" w:eastAsia="宋体" w:cs="宋体"/>
                <w:b/>
                <w:bCs/>
                <w:color w:val="000000"/>
                <w:sz w:val="18"/>
                <w:szCs w:val="18"/>
              </w:rPr>
            </w:pPr>
          </w:p>
        </w:tc>
        <w:tc>
          <w:tcPr>
            <w:tcW w:w="686" w:type="dxa"/>
            <w:vMerge w:val="continue"/>
            <w:shd w:val="clear" w:color="auto" w:fill="FFFFFF"/>
            <w:vAlign w:val="center"/>
          </w:tcPr>
          <w:p>
            <w:pPr>
              <w:jc w:val="center"/>
              <w:rPr>
                <w:rFonts w:ascii="宋体" w:hAnsi="宋体" w:eastAsia="宋体" w:cs="宋体"/>
                <w:b/>
                <w:bCs/>
                <w:color w:val="000000"/>
                <w:sz w:val="18"/>
                <w:szCs w:val="18"/>
              </w:rPr>
            </w:pPr>
          </w:p>
        </w:tc>
        <w:tc>
          <w:tcPr>
            <w:tcW w:w="441"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1</w:t>
            </w:r>
          </w:p>
        </w:tc>
        <w:tc>
          <w:tcPr>
            <w:tcW w:w="538"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2</w:t>
            </w:r>
          </w:p>
        </w:tc>
        <w:tc>
          <w:tcPr>
            <w:tcW w:w="500"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3</w:t>
            </w:r>
          </w:p>
        </w:tc>
        <w:tc>
          <w:tcPr>
            <w:tcW w:w="541"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4</w:t>
            </w:r>
          </w:p>
        </w:tc>
        <w:tc>
          <w:tcPr>
            <w:tcW w:w="489"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5</w:t>
            </w:r>
          </w:p>
        </w:tc>
        <w:tc>
          <w:tcPr>
            <w:tcW w:w="551"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55" w:hRule="atLeast"/>
        </w:trPr>
        <w:tc>
          <w:tcPr>
            <w:tcW w:w="434" w:type="dxa"/>
            <w:vMerge w:val="continue"/>
            <w:shd w:val="clear" w:color="auto" w:fill="FFFFFF"/>
            <w:vAlign w:val="center"/>
          </w:tcPr>
          <w:p>
            <w:pPr>
              <w:jc w:val="center"/>
              <w:rPr>
                <w:rFonts w:ascii="宋体" w:hAnsi="宋体" w:eastAsia="宋体" w:cs="宋体"/>
                <w:b/>
                <w:bCs/>
                <w:color w:val="000000"/>
                <w:sz w:val="18"/>
                <w:szCs w:val="18"/>
              </w:rPr>
            </w:pPr>
          </w:p>
        </w:tc>
        <w:tc>
          <w:tcPr>
            <w:tcW w:w="2465" w:type="dxa"/>
            <w:vMerge w:val="continue"/>
            <w:shd w:val="clear" w:color="auto" w:fill="FFFFFF"/>
            <w:vAlign w:val="center"/>
          </w:tcPr>
          <w:p>
            <w:pPr>
              <w:jc w:val="center"/>
              <w:rPr>
                <w:rFonts w:ascii="宋体" w:hAnsi="宋体" w:eastAsia="宋体" w:cs="宋体"/>
                <w:b/>
                <w:bCs/>
                <w:color w:val="000000"/>
                <w:sz w:val="18"/>
                <w:szCs w:val="18"/>
              </w:rPr>
            </w:pPr>
          </w:p>
        </w:tc>
        <w:tc>
          <w:tcPr>
            <w:tcW w:w="344" w:type="dxa"/>
            <w:vMerge w:val="continue"/>
            <w:shd w:val="clear" w:color="auto" w:fill="FFFFFF"/>
            <w:vAlign w:val="center"/>
          </w:tcPr>
          <w:p>
            <w:pPr>
              <w:jc w:val="center"/>
              <w:rPr>
                <w:rFonts w:ascii="宋体" w:hAnsi="宋体" w:eastAsia="宋体" w:cs="宋体"/>
                <w:b/>
                <w:bCs/>
                <w:color w:val="000000"/>
                <w:sz w:val="18"/>
                <w:szCs w:val="18"/>
              </w:rPr>
            </w:pPr>
          </w:p>
        </w:tc>
        <w:tc>
          <w:tcPr>
            <w:tcW w:w="395" w:type="dxa"/>
            <w:vMerge w:val="continue"/>
            <w:shd w:val="clear" w:color="auto" w:fill="FFFFFF"/>
            <w:vAlign w:val="center"/>
          </w:tcPr>
          <w:p>
            <w:pPr>
              <w:jc w:val="center"/>
              <w:rPr>
                <w:rFonts w:ascii="宋体" w:hAnsi="宋体" w:eastAsia="宋体" w:cs="宋体"/>
                <w:b/>
                <w:bCs/>
                <w:color w:val="000000"/>
                <w:sz w:val="18"/>
                <w:szCs w:val="18"/>
              </w:rPr>
            </w:pPr>
          </w:p>
        </w:tc>
        <w:tc>
          <w:tcPr>
            <w:tcW w:w="978" w:type="dxa"/>
            <w:vMerge w:val="continue"/>
            <w:shd w:val="clear" w:color="auto" w:fill="FFFFFF"/>
            <w:vAlign w:val="center"/>
          </w:tcPr>
          <w:p>
            <w:pPr>
              <w:jc w:val="center"/>
              <w:rPr>
                <w:rFonts w:ascii="宋体" w:hAnsi="宋体" w:eastAsia="宋体" w:cs="宋体"/>
                <w:b/>
                <w:bCs/>
                <w:color w:val="000000"/>
                <w:sz w:val="18"/>
                <w:szCs w:val="18"/>
              </w:rPr>
            </w:pPr>
          </w:p>
        </w:tc>
        <w:tc>
          <w:tcPr>
            <w:tcW w:w="686" w:type="dxa"/>
            <w:vMerge w:val="continue"/>
            <w:shd w:val="clear" w:color="auto" w:fill="FFFFFF"/>
            <w:vAlign w:val="center"/>
          </w:tcPr>
          <w:p>
            <w:pPr>
              <w:jc w:val="center"/>
              <w:rPr>
                <w:rFonts w:ascii="宋体" w:hAnsi="宋体" w:eastAsia="宋体" w:cs="宋体"/>
                <w:b/>
                <w:bCs/>
                <w:color w:val="000000"/>
                <w:sz w:val="18"/>
                <w:szCs w:val="18"/>
              </w:rPr>
            </w:pPr>
          </w:p>
        </w:tc>
        <w:tc>
          <w:tcPr>
            <w:tcW w:w="441"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16+2</w:t>
            </w:r>
          </w:p>
        </w:tc>
        <w:tc>
          <w:tcPr>
            <w:tcW w:w="538"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16+2</w:t>
            </w:r>
          </w:p>
        </w:tc>
        <w:tc>
          <w:tcPr>
            <w:tcW w:w="500"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16+2</w:t>
            </w:r>
          </w:p>
        </w:tc>
        <w:tc>
          <w:tcPr>
            <w:tcW w:w="541"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16+2</w:t>
            </w:r>
          </w:p>
        </w:tc>
        <w:tc>
          <w:tcPr>
            <w:tcW w:w="489"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10+8</w:t>
            </w:r>
          </w:p>
        </w:tc>
        <w:tc>
          <w:tcPr>
            <w:tcW w:w="551" w:type="dxa"/>
            <w:shd w:val="clear" w:color="auto" w:fill="FFFFFF"/>
            <w:vAlign w:val="center"/>
          </w:tcPr>
          <w:p>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restart"/>
            <w:shd w:val="clear" w:color="auto" w:fill="FFFFFF"/>
            <w:vAlign w:val="center"/>
          </w:tcPr>
          <w:p>
            <w:pPr>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公共基础必修</w:t>
            </w:r>
          </w:p>
        </w:tc>
        <w:tc>
          <w:tcPr>
            <w:tcW w:w="2465" w:type="dxa"/>
            <w:shd w:val="clear" w:color="auto" w:fill="FFFFFF"/>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毛泽东思想和中国特色社会主义理论体系概论1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textAlignment w:val="center"/>
              <w:rPr>
                <w:rFonts w:ascii="宋体" w:hAnsi="宋体" w:eastAsia="宋体" w:cs="宋体"/>
                <w:color w:val="000000"/>
                <w:kern w:val="0"/>
                <w:sz w:val="18"/>
                <w:szCs w:val="18"/>
                <w:lang w:bidi="ar"/>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思想道德与法治1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widowControl/>
              <w:jc w:val="center"/>
              <w:textAlignment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形势与政策1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widowControl/>
              <w:jc w:val="center"/>
              <w:textAlignment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体育1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widowControl/>
              <w:jc w:val="center"/>
              <w:textAlignment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心理健康教育1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widowControl/>
              <w:jc w:val="center"/>
              <w:textAlignment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计算机应用基础1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22</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widowControl/>
              <w:jc w:val="center"/>
              <w:textAlignment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sz w:val="18"/>
                <w:szCs w:val="18"/>
              </w:rPr>
              <w:t>高等数学1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96</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ascii="宋体" w:hAnsi="宋体" w:eastAsia="宋体" w:cs="宋体"/>
                <w:color w:val="000000"/>
                <w:sz w:val="18"/>
                <w:szCs w:val="18"/>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实用英语1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职业生涯规划与职业指导</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心理健康教育2</w:t>
            </w:r>
          </w:p>
        </w:tc>
        <w:tc>
          <w:tcPr>
            <w:tcW w:w="344"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w:t>
            </w:r>
          </w:p>
        </w:tc>
        <w:tc>
          <w:tcPr>
            <w:tcW w:w="395"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w:t>
            </w:r>
          </w:p>
        </w:tc>
        <w:tc>
          <w:tcPr>
            <w:tcW w:w="97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3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00"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计算机应用基础2</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大学生安全教育</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38</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0"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毛泽东思想和中国特色社会主义理论体系概论2</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sz w:val="18"/>
                <w:szCs w:val="18"/>
              </w:rPr>
              <w:t>思想道德与法治2</w:t>
            </w:r>
          </w:p>
        </w:tc>
        <w:tc>
          <w:tcPr>
            <w:tcW w:w="344"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w:t>
            </w:r>
          </w:p>
        </w:tc>
        <w:tc>
          <w:tcPr>
            <w:tcW w:w="395"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24</w:t>
            </w:r>
          </w:p>
        </w:tc>
        <w:tc>
          <w:tcPr>
            <w:tcW w:w="97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4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　</w:t>
            </w:r>
          </w:p>
        </w:tc>
        <w:tc>
          <w:tcPr>
            <w:tcW w:w="53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习近平新时代中国特色社会主义思想概论</w:t>
            </w:r>
          </w:p>
        </w:tc>
        <w:tc>
          <w:tcPr>
            <w:tcW w:w="344"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395"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32</w:t>
            </w:r>
          </w:p>
        </w:tc>
        <w:tc>
          <w:tcPr>
            <w:tcW w:w="978"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考试</w:t>
            </w:r>
          </w:p>
        </w:tc>
        <w:tc>
          <w:tcPr>
            <w:tcW w:w="686"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41"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　</w:t>
            </w:r>
          </w:p>
        </w:tc>
        <w:tc>
          <w:tcPr>
            <w:tcW w:w="538"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　</w:t>
            </w:r>
          </w:p>
        </w:tc>
        <w:tc>
          <w:tcPr>
            <w:tcW w:w="500"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形势与政策2</w:t>
            </w:r>
          </w:p>
        </w:tc>
        <w:tc>
          <w:tcPr>
            <w:tcW w:w="344"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0.5</w:t>
            </w:r>
          </w:p>
        </w:tc>
        <w:tc>
          <w:tcPr>
            <w:tcW w:w="395"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978"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考查</w:t>
            </w:r>
          </w:p>
        </w:tc>
        <w:tc>
          <w:tcPr>
            <w:tcW w:w="686"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w:t>
            </w:r>
          </w:p>
        </w:tc>
        <w:tc>
          <w:tcPr>
            <w:tcW w:w="441"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　</w:t>
            </w:r>
          </w:p>
        </w:tc>
        <w:tc>
          <w:tcPr>
            <w:tcW w:w="538"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0.5</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互联网+创业实践</w:t>
            </w:r>
          </w:p>
        </w:tc>
        <w:tc>
          <w:tcPr>
            <w:tcW w:w="344"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395"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32</w:t>
            </w:r>
          </w:p>
        </w:tc>
        <w:tc>
          <w:tcPr>
            <w:tcW w:w="978"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考查</w:t>
            </w:r>
          </w:p>
        </w:tc>
        <w:tc>
          <w:tcPr>
            <w:tcW w:w="686"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16</w:t>
            </w:r>
          </w:p>
        </w:tc>
        <w:tc>
          <w:tcPr>
            <w:tcW w:w="441"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　</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计算机应用基础3</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形势与政策3</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大学语文</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形势与政策4</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体育2</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高等数学2</w:t>
            </w:r>
          </w:p>
        </w:tc>
        <w:tc>
          <w:tcPr>
            <w:tcW w:w="344"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c>
          <w:tcPr>
            <w:tcW w:w="441"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　</w:t>
            </w:r>
          </w:p>
        </w:tc>
        <w:tc>
          <w:tcPr>
            <w:tcW w:w="53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00" w:type="dxa"/>
            <w:shd w:val="clear" w:color="auto" w:fill="FFFFFF"/>
            <w:vAlign w:val="center"/>
          </w:tcPr>
          <w:p>
            <w:pPr>
              <w:jc w:val="center"/>
              <w:rPr>
                <w:rFonts w:ascii="宋体" w:hAnsi="宋体" w:eastAsia="宋体" w:cs="宋体"/>
                <w:color w:val="000000"/>
                <w:kern w:val="0"/>
                <w:sz w:val="18"/>
                <w:szCs w:val="18"/>
                <w:lang w:bidi="ar"/>
              </w:rPr>
            </w:pPr>
          </w:p>
        </w:tc>
        <w:tc>
          <w:tcPr>
            <w:tcW w:w="541" w:type="dxa"/>
            <w:shd w:val="clear" w:color="auto" w:fill="FFFFFF"/>
            <w:vAlign w:val="center"/>
          </w:tcPr>
          <w:p>
            <w:pPr>
              <w:jc w:val="center"/>
              <w:rPr>
                <w:rFonts w:ascii="宋体" w:hAnsi="宋体" w:eastAsia="宋体" w:cs="宋体"/>
                <w:color w:val="000000"/>
                <w:kern w:val="0"/>
                <w:sz w:val="18"/>
                <w:szCs w:val="18"/>
                <w:lang w:bidi="ar"/>
              </w:rPr>
            </w:pPr>
          </w:p>
        </w:tc>
        <w:tc>
          <w:tcPr>
            <w:tcW w:w="489" w:type="dxa"/>
            <w:shd w:val="clear" w:color="auto" w:fill="FFFFFF"/>
            <w:vAlign w:val="center"/>
          </w:tcPr>
          <w:p>
            <w:pPr>
              <w:jc w:val="center"/>
              <w:rPr>
                <w:rFonts w:ascii="宋体" w:hAnsi="宋体" w:eastAsia="宋体" w:cs="宋体"/>
                <w:color w:val="000000"/>
                <w:kern w:val="0"/>
                <w:sz w:val="18"/>
                <w:szCs w:val="18"/>
                <w:lang w:bidi="ar"/>
              </w:rPr>
            </w:pPr>
          </w:p>
        </w:tc>
        <w:tc>
          <w:tcPr>
            <w:tcW w:w="551" w:type="dxa"/>
            <w:shd w:val="clear" w:color="auto" w:fill="FFFFFF"/>
            <w:vAlign w:val="center"/>
          </w:tcPr>
          <w:p>
            <w:pPr>
              <w:jc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实用英语2</w:t>
            </w:r>
          </w:p>
        </w:tc>
        <w:tc>
          <w:tcPr>
            <w:tcW w:w="344"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441"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　</w:t>
            </w:r>
          </w:p>
        </w:tc>
        <w:tc>
          <w:tcPr>
            <w:tcW w:w="53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00" w:type="dxa"/>
            <w:shd w:val="clear" w:color="auto" w:fill="FFFFFF"/>
            <w:vAlign w:val="center"/>
          </w:tcPr>
          <w:p>
            <w:pPr>
              <w:jc w:val="center"/>
              <w:rPr>
                <w:rFonts w:ascii="宋体" w:hAnsi="宋体" w:eastAsia="宋体" w:cs="宋体"/>
                <w:color w:val="000000"/>
                <w:kern w:val="0"/>
                <w:sz w:val="18"/>
                <w:szCs w:val="18"/>
                <w:lang w:bidi="ar"/>
              </w:rPr>
            </w:pPr>
          </w:p>
        </w:tc>
        <w:tc>
          <w:tcPr>
            <w:tcW w:w="541" w:type="dxa"/>
            <w:shd w:val="clear" w:color="auto" w:fill="FFFFFF"/>
            <w:vAlign w:val="center"/>
          </w:tcPr>
          <w:p>
            <w:pPr>
              <w:jc w:val="center"/>
              <w:rPr>
                <w:rFonts w:ascii="宋体" w:hAnsi="宋体" w:eastAsia="宋体" w:cs="宋体"/>
                <w:color w:val="000000"/>
                <w:kern w:val="0"/>
                <w:sz w:val="18"/>
                <w:szCs w:val="18"/>
                <w:lang w:bidi="ar"/>
              </w:rPr>
            </w:pPr>
          </w:p>
        </w:tc>
        <w:tc>
          <w:tcPr>
            <w:tcW w:w="489" w:type="dxa"/>
            <w:shd w:val="clear" w:color="auto" w:fill="FFFFFF"/>
            <w:vAlign w:val="center"/>
          </w:tcPr>
          <w:p>
            <w:pPr>
              <w:jc w:val="center"/>
              <w:rPr>
                <w:rFonts w:ascii="宋体" w:hAnsi="宋体" w:eastAsia="宋体" w:cs="宋体"/>
                <w:color w:val="000000"/>
                <w:kern w:val="0"/>
                <w:sz w:val="18"/>
                <w:szCs w:val="18"/>
                <w:lang w:bidi="ar"/>
              </w:rPr>
            </w:pPr>
          </w:p>
        </w:tc>
        <w:tc>
          <w:tcPr>
            <w:tcW w:w="551" w:type="dxa"/>
            <w:shd w:val="clear" w:color="auto" w:fill="FFFFFF"/>
            <w:vAlign w:val="center"/>
          </w:tcPr>
          <w:p>
            <w:pPr>
              <w:jc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军事理论与训练</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实用英语3</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实用英语4</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劳动教育</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9"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BD4B4" w:themeFill="accent6" w:themeFillTint="66"/>
            <w:vAlign w:val="center"/>
          </w:tcPr>
          <w:p>
            <w:pPr>
              <w:jc w:val="center"/>
              <w:rPr>
                <w:rFonts w:ascii="宋体" w:hAnsi="宋体" w:eastAsia="宋体" w:cs="宋体"/>
                <w:b/>
                <w:color w:val="000000"/>
                <w:sz w:val="18"/>
                <w:szCs w:val="18"/>
              </w:rPr>
            </w:pPr>
            <w:r>
              <w:rPr>
                <w:rFonts w:ascii="宋体" w:hAnsi="宋体" w:eastAsia="宋体" w:cs="宋体"/>
                <w:b/>
                <w:color w:val="000000"/>
                <w:sz w:val="18"/>
                <w:szCs w:val="18"/>
              </w:rPr>
              <w:t>小计</w:t>
            </w:r>
          </w:p>
        </w:tc>
        <w:tc>
          <w:tcPr>
            <w:tcW w:w="344" w:type="dxa"/>
            <w:shd w:val="clear" w:color="auto" w:fill="FBD4B4" w:themeFill="accent6" w:themeFillTint="66"/>
            <w:vAlign w:val="center"/>
          </w:tcPr>
          <w:p>
            <w:pPr>
              <w:widowControl/>
              <w:jc w:val="center"/>
              <w:textAlignment w:val="center"/>
              <w:rPr>
                <w:rFonts w:ascii="宋体" w:hAnsi="宋体" w:eastAsia="宋体" w:cs="宋体"/>
                <w:b/>
                <w:color w:val="000000"/>
                <w:kern w:val="0"/>
                <w:sz w:val="18"/>
                <w:szCs w:val="18"/>
                <w:lang w:bidi="ar"/>
              </w:rPr>
            </w:pPr>
            <w:r>
              <w:rPr>
                <w:rFonts w:hint="eastAsia" w:ascii="宋体" w:hAnsi="宋体" w:eastAsia="宋体" w:cs="宋体"/>
                <w:b/>
                <w:color w:val="000000"/>
                <w:kern w:val="0"/>
                <w:sz w:val="18"/>
                <w:szCs w:val="18"/>
                <w:lang w:bidi="ar"/>
              </w:rPr>
              <w:t>54</w:t>
            </w:r>
          </w:p>
        </w:tc>
        <w:tc>
          <w:tcPr>
            <w:tcW w:w="395" w:type="dxa"/>
            <w:shd w:val="clear" w:color="auto" w:fill="FBD4B4" w:themeFill="accent6" w:themeFillTint="66"/>
            <w:vAlign w:val="center"/>
          </w:tcPr>
          <w:p>
            <w:pPr>
              <w:widowControl/>
              <w:jc w:val="center"/>
              <w:textAlignment w:val="center"/>
              <w:rPr>
                <w:rFonts w:ascii="宋体" w:hAnsi="宋体" w:eastAsia="宋体" w:cs="宋体"/>
                <w:b/>
                <w:color w:val="000000"/>
                <w:kern w:val="0"/>
                <w:sz w:val="18"/>
                <w:szCs w:val="18"/>
                <w:lang w:bidi="ar"/>
              </w:rPr>
            </w:pPr>
            <w:r>
              <w:rPr>
                <w:rFonts w:hint="eastAsia" w:ascii="宋体" w:hAnsi="宋体" w:eastAsia="宋体" w:cs="宋体"/>
                <w:b/>
                <w:color w:val="000000"/>
                <w:kern w:val="0"/>
                <w:sz w:val="18"/>
                <w:szCs w:val="18"/>
                <w:lang w:bidi="ar"/>
              </w:rPr>
              <w:t>870</w:t>
            </w:r>
          </w:p>
        </w:tc>
        <w:tc>
          <w:tcPr>
            <w:tcW w:w="978" w:type="dxa"/>
            <w:shd w:val="clear" w:color="auto" w:fill="FBD4B4" w:themeFill="accent6" w:themeFillTint="66"/>
            <w:vAlign w:val="center"/>
          </w:tcPr>
          <w:p>
            <w:pPr>
              <w:widowControl/>
              <w:jc w:val="center"/>
              <w:textAlignment w:val="center"/>
              <w:rPr>
                <w:rFonts w:ascii="宋体" w:hAnsi="宋体" w:eastAsia="宋体" w:cs="宋体"/>
                <w:b/>
                <w:color w:val="000000"/>
                <w:kern w:val="0"/>
                <w:sz w:val="18"/>
                <w:szCs w:val="18"/>
                <w:lang w:bidi="ar"/>
              </w:rPr>
            </w:pPr>
            <w:r>
              <w:rPr>
                <w:rFonts w:hint="eastAsia" w:ascii="宋体" w:hAnsi="宋体" w:eastAsia="宋体" w:cs="宋体"/>
                <w:b/>
                <w:color w:val="000000"/>
                <w:kern w:val="0"/>
                <w:sz w:val="18"/>
                <w:szCs w:val="18"/>
                <w:lang w:bidi="ar"/>
              </w:rPr>
              <w:t>　</w:t>
            </w:r>
          </w:p>
        </w:tc>
        <w:tc>
          <w:tcPr>
            <w:tcW w:w="686" w:type="dxa"/>
            <w:shd w:val="clear" w:color="auto" w:fill="FBD4B4" w:themeFill="accent6" w:themeFillTint="66"/>
            <w:vAlign w:val="center"/>
          </w:tcPr>
          <w:p>
            <w:pPr>
              <w:widowControl/>
              <w:jc w:val="center"/>
              <w:textAlignment w:val="center"/>
              <w:rPr>
                <w:rFonts w:ascii="宋体" w:hAnsi="宋体" w:eastAsia="宋体" w:cs="宋体"/>
                <w:b/>
                <w:color w:val="000000"/>
                <w:kern w:val="0"/>
                <w:sz w:val="18"/>
                <w:szCs w:val="18"/>
                <w:lang w:bidi="ar"/>
              </w:rPr>
            </w:pPr>
            <w:r>
              <w:rPr>
                <w:rFonts w:hint="eastAsia" w:ascii="宋体" w:hAnsi="宋体" w:eastAsia="宋体" w:cs="宋体"/>
                <w:b/>
                <w:color w:val="000000"/>
                <w:kern w:val="0"/>
                <w:sz w:val="18"/>
                <w:szCs w:val="18"/>
                <w:lang w:bidi="ar"/>
              </w:rPr>
              <w:t>222</w:t>
            </w:r>
          </w:p>
        </w:tc>
        <w:tc>
          <w:tcPr>
            <w:tcW w:w="441" w:type="dxa"/>
            <w:shd w:val="clear" w:color="auto" w:fill="FBD4B4" w:themeFill="accent6" w:themeFillTint="66"/>
            <w:vAlign w:val="center"/>
          </w:tcPr>
          <w:p>
            <w:pPr>
              <w:widowControl/>
              <w:jc w:val="center"/>
              <w:textAlignment w:val="center"/>
              <w:rPr>
                <w:rFonts w:ascii="宋体" w:hAnsi="宋体" w:eastAsia="宋体" w:cs="宋体"/>
                <w:b/>
                <w:color w:val="000000"/>
                <w:kern w:val="0"/>
                <w:sz w:val="18"/>
                <w:szCs w:val="18"/>
                <w:lang w:bidi="ar"/>
              </w:rPr>
            </w:pPr>
            <w:r>
              <w:rPr>
                <w:rFonts w:hint="eastAsia" w:ascii="宋体" w:hAnsi="宋体" w:eastAsia="宋体" w:cs="宋体"/>
                <w:b/>
                <w:color w:val="000000"/>
                <w:kern w:val="0"/>
                <w:sz w:val="18"/>
                <w:szCs w:val="18"/>
                <w:lang w:bidi="ar"/>
              </w:rPr>
              <w:t>20</w:t>
            </w:r>
          </w:p>
        </w:tc>
        <w:tc>
          <w:tcPr>
            <w:tcW w:w="538" w:type="dxa"/>
            <w:shd w:val="clear" w:color="auto" w:fill="FBD4B4" w:themeFill="accent6" w:themeFillTint="66"/>
            <w:vAlign w:val="center"/>
          </w:tcPr>
          <w:p>
            <w:pPr>
              <w:widowControl/>
              <w:jc w:val="center"/>
              <w:textAlignment w:val="center"/>
              <w:rPr>
                <w:rFonts w:ascii="宋体" w:hAnsi="宋体" w:eastAsia="宋体" w:cs="宋体"/>
                <w:b/>
                <w:color w:val="000000"/>
                <w:kern w:val="0"/>
                <w:sz w:val="18"/>
                <w:szCs w:val="18"/>
                <w:lang w:bidi="ar"/>
              </w:rPr>
            </w:pPr>
            <w:r>
              <w:rPr>
                <w:rFonts w:hint="eastAsia" w:ascii="宋体" w:hAnsi="宋体" w:eastAsia="宋体" w:cs="宋体"/>
                <w:b/>
                <w:color w:val="000000"/>
                <w:kern w:val="0"/>
                <w:sz w:val="18"/>
                <w:szCs w:val="18"/>
                <w:lang w:bidi="ar"/>
              </w:rPr>
              <w:t>20</w:t>
            </w:r>
          </w:p>
        </w:tc>
        <w:tc>
          <w:tcPr>
            <w:tcW w:w="500" w:type="dxa"/>
            <w:shd w:val="clear" w:color="auto" w:fill="FBD4B4" w:themeFill="accent6" w:themeFillTint="66"/>
            <w:vAlign w:val="center"/>
          </w:tcPr>
          <w:p>
            <w:pPr>
              <w:widowControl/>
              <w:jc w:val="center"/>
              <w:textAlignment w:val="center"/>
              <w:rPr>
                <w:rFonts w:ascii="宋体" w:hAnsi="宋体" w:eastAsia="宋体" w:cs="宋体"/>
                <w:b/>
                <w:color w:val="000000"/>
                <w:kern w:val="0"/>
                <w:sz w:val="18"/>
                <w:szCs w:val="18"/>
                <w:lang w:bidi="ar"/>
              </w:rPr>
            </w:pPr>
            <w:r>
              <w:rPr>
                <w:rFonts w:hint="eastAsia" w:ascii="宋体" w:hAnsi="宋体" w:eastAsia="宋体" w:cs="宋体"/>
                <w:b/>
                <w:color w:val="000000"/>
                <w:kern w:val="0"/>
                <w:sz w:val="18"/>
                <w:szCs w:val="18"/>
                <w:lang w:bidi="ar"/>
              </w:rPr>
              <w:t>8.5</w:t>
            </w:r>
          </w:p>
        </w:tc>
        <w:tc>
          <w:tcPr>
            <w:tcW w:w="541" w:type="dxa"/>
            <w:shd w:val="clear" w:color="auto" w:fill="FBD4B4" w:themeFill="accent6" w:themeFillTint="66"/>
            <w:vAlign w:val="center"/>
          </w:tcPr>
          <w:p>
            <w:pPr>
              <w:widowControl/>
              <w:jc w:val="center"/>
              <w:textAlignment w:val="center"/>
              <w:rPr>
                <w:rFonts w:ascii="宋体" w:hAnsi="宋体" w:eastAsia="宋体" w:cs="宋体"/>
                <w:b/>
                <w:color w:val="000000"/>
                <w:kern w:val="0"/>
                <w:sz w:val="18"/>
                <w:szCs w:val="18"/>
                <w:lang w:bidi="ar"/>
              </w:rPr>
            </w:pPr>
            <w:r>
              <w:rPr>
                <w:rFonts w:hint="eastAsia" w:ascii="宋体" w:hAnsi="宋体" w:eastAsia="宋体" w:cs="宋体"/>
                <w:b/>
                <w:color w:val="000000"/>
                <w:kern w:val="0"/>
                <w:sz w:val="18"/>
                <w:szCs w:val="18"/>
                <w:lang w:bidi="ar"/>
              </w:rPr>
              <w:t>4.5</w:t>
            </w:r>
          </w:p>
        </w:tc>
        <w:tc>
          <w:tcPr>
            <w:tcW w:w="489" w:type="dxa"/>
            <w:shd w:val="clear" w:color="auto" w:fill="FBD4B4" w:themeFill="accent6" w:themeFillTint="66"/>
            <w:vAlign w:val="center"/>
          </w:tcPr>
          <w:p>
            <w:pPr>
              <w:widowControl/>
              <w:jc w:val="center"/>
              <w:textAlignment w:val="center"/>
              <w:rPr>
                <w:rFonts w:ascii="宋体" w:hAnsi="宋体" w:eastAsia="宋体" w:cs="宋体"/>
                <w:b/>
                <w:color w:val="000000"/>
                <w:kern w:val="0"/>
                <w:sz w:val="18"/>
                <w:szCs w:val="18"/>
                <w:lang w:bidi="ar"/>
              </w:rPr>
            </w:pPr>
            <w:r>
              <w:rPr>
                <w:rFonts w:hint="eastAsia" w:ascii="宋体" w:hAnsi="宋体" w:eastAsia="宋体" w:cs="宋体"/>
                <w:b/>
                <w:color w:val="000000"/>
                <w:kern w:val="0"/>
                <w:sz w:val="18"/>
                <w:szCs w:val="18"/>
                <w:lang w:bidi="ar"/>
              </w:rPr>
              <w:t>1</w:t>
            </w:r>
          </w:p>
        </w:tc>
        <w:tc>
          <w:tcPr>
            <w:tcW w:w="551" w:type="dxa"/>
            <w:shd w:val="clear" w:color="auto" w:fill="FBD4B4" w:themeFill="accent6" w:themeFillTint="66"/>
            <w:vAlign w:val="center"/>
          </w:tcPr>
          <w:p>
            <w:pPr>
              <w:widowControl/>
              <w:jc w:val="center"/>
              <w:textAlignment w:val="center"/>
              <w:rPr>
                <w:rFonts w:ascii="宋体" w:hAnsi="宋体" w:eastAsia="宋体" w:cs="宋体"/>
                <w:b/>
                <w:color w:val="000000"/>
                <w:kern w:val="0"/>
                <w:sz w:val="18"/>
                <w:szCs w:val="18"/>
                <w:lang w:bidi="ar"/>
              </w:rPr>
            </w:pPr>
            <w:r>
              <w:rPr>
                <w:rFonts w:hint="eastAsia" w:ascii="宋体" w:hAnsi="宋体" w:eastAsia="宋体" w:cs="宋体"/>
                <w:b/>
                <w:color w:val="000000"/>
                <w:kern w:val="0"/>
                <w:sz w:val="18"/>
                <w:szCs w:val="18"/>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restart"/>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公共基础选修</w:t>
            </w:r>
          </w:p>
        </w:tc>
        <w:tc>
          <w:tcPr>
            <w:tcW w:w="2465" w:type="dxa"/>
            <w:shd w:val="clear" w:color="auto" w:fill="FFFFFF"/>
            <w:vAlign w:val="center"/>
          </w:tcPr>
          <w:p>
            <w:pPr>
              <w:widowControl/>
              <w:jc w:val="left"/>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公共艺术选修</w:t>
            </w:r>
          </w:p>
        </w:tc>
        <w:tc>
          <w:tcPr>
            <w:tcW w:w="344"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rPr>
                <w:rFonts w:ascii="宋体" w:hAnsi="宋体" w:eastAsia="宋体" w:cs="宋体"/>
                <w:color w:val="000000"/>
                <w:kern w:val="0"/>
                <w:sz w:val="18"/>
                <w:szCs w:val="18"/>
                <w:lang w:bidi="ar"/>
              </w:rPr>
            </w:pPr>
          </w:p>
        </w:tc>
        <w:tc>
          <w:tcPr>
            <w:tcW w:w="441" w:type="dxa"/>
            <w:shd w:val="clear" w:color="auto" w:fill="FFFFFF"/>
            <w:vAlign w:val="center"/>
          </w:tcPr>
          <w:p>
            <w:pPr>
              <w:widowControl/>
              <w:jc w:val="center"/>
              <w:rPr>
                <w:rFonts w:ascii="宋体" w:hAnsi="宋体" w:eastAsia="宋体" w:cs="宋体"/>
                <w:color w:val="000000"/>
                <w:kern w:val="0"/>
                <w:sz w:val="18"/>
                <w:szCs w:val="18"/>
                <w:lang w:bidi="ar"/>
              </w:rPr>
            </w:pPr>
          </w:p>
        </w:tc>
        <w:tc>
          <w:tcPr>
            <w:tcW w:w="2068" w:type="dxa"/>
            <w:gridSpan w:val="4"/>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2，任意一学期</w:t>
            </w:r>
          </w:p>
        </w:tc>
        <w:tc>
          <w:tcPr>
            <w:tcW w:w="551" w:type="dxa"/>
            <w:shd w:val="clear" w:color="auto" w:fill="FFFFFF"/>
            <w:vAlign w:val="center"/>
          </w:tcPr>
          <w:p>
            <w:pPr>
              <w:jc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基础物理１</w:t>
            </w:r>
          </w:p>
        </w:tc>
        <w:tc>
          <w:tcPr>
            <w:tcW w:w="344"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w:t>
            </w:r>
          </w:p>
        </w:tc>
        <w:tc>
          <w:tcPr>
            <w:tcW w:w="395"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48</w:t>
            </w:r>
          </w:p>
        </w:tc>
        <w:tc>
          <w:tcPr>
            <w:tcW w:w="978"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12</w:t>
            </w:r>
          </w:p>
        </w:tc>
        <w:tc>
          <w:tcPr>
            <w:tcW w:w="441"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w:t>
            </w:r>
          </w:p>
        </w:tc>
        <w:tc>
          <w:tcPr>
            <w:tcW w:w="538" w:type="dxa"/>
            <w:shd w:val="clear" w:color="auto" w:fill="FFFFFF"/>
            <w:vAlign w:val="center"/>
          </w:tcPr>
          <w:p>
            <w:pPr>
              <w:widowControl/>
              <w:jc w:val="center"/>
              <w:rPr>
                <w:rFonts w:ascii="宋体" w:hAnsi="宋体" w:eastAsia="宋体" w:cs="宋体"/>
                <w:color w:val="000000"/>
                <w:kern w:val="0"/>
                <w:sz w:val="18"/>
                <w:szCs w:val="18"/>
                <w:lang w:bidi="ar"/>
              </w:rPr>
            </w:pPr>
          </w:p>
        </w:tc>
        <w:tc>
          <w:tcPr>
            <w:tcW w:w="500" w:type="dxa"/>
            <w:shd w:val="clear" w:color="auto" w:fill="FFFFFF"/>
            <w:vAlign w:val="center"/>
          </w:tcPr>
          <w:p>
            <w:pPr>
              <w:widowControl/>
              <w:jc w:val="center"/>
              <w:rPr>
                <w:rFonts w:ascii="宋体" w:hAnsi="宋体" w:eastAsia="宋体" w:cs="宋体"/>
                <w:color w:val="000000"/>
                <w:kern w:val="0"/>
                <w:sz w:val="18"/>
                <w:szCs w:val="18"/>
                <w:lang w:bidi="ar"/>
              </w:rPr>
            </w:pPr>
          </w:p>
        </w:tc>
        <w:tc>
          <w:tcPr>
            <w:tcW w:w="541" w:type="dxa"/>
            <w:shd w:val="clear" w:color="auto" w:fill="FFFFFF"/>
            <w:vAlign w:val="center"/>
          </w:tcPr>
          <w:p>
            <w:pPr>
              <w:widowControl/>
              <w:jc w:val="center"/>
              <w:rPr>
                <w:rFonts w:ascii="宋体" w:hAnsi="宋体" w:eastAsia="宋体" w:cs="宋体"/>
                <w:color w:val="000000"/>
                <w:kern w:val="0"/>
                <w:sz w:val="18"/>
                <w:szCs w:val="18"/>
                <w:lang w:bidi="ar"/>
              </w:rPr>
            </w:pPr>
          </w:p>
        </w:tc>
        <w:tc>
          <w:tcPr>
            <w:tcW w:w="489" w:type="dxa"/>
            <w:shd w:val="clear" w:color="auto" w:fill="FFFFFF"/>
            <w:vAlign w:val="center"/>
          </w:tcPr>
          <w:p>
            <w:pPr>
              <w:widowControl/>
              <w:jc w:val="center"/>
              <w:rPr>
                <w:rFonts w:ascii="宋体" w:hAnsi="宋体" w:eastAsia="宋体" w:cs="宋体"/>
                <w:color w:val="000000"/>
                <w:kern w:val="0"/>
                <w:sz w:val="18"/>
                <w:szCs w:val="18"/>
                <w:lang w:bidi="ar"/>
              </w:rPr>
            </w:pPr>
          </w:p>
        </w:tc>
        <w:tc>
          <w:tcPr>
            <w:tcW w:w="551" w:type="dxa"/>
            <w:shd w:val="clear" w:color="auto" w:fill="FFFFFF"/>
            <w:vAlign w:val="center"/>
          </w:tcPr>
          <w:p>
            <w:pPr>
              <w:widowControl/>
              <w:jc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基础物理２</w:t>
            </w:r>
          </w:p>
        </w:tc>
        <w:tc>
          <w:tcPr>
            <w:tcW w:w="344"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w:t>
            </w:r>
          </w:p>
        </w:tc>
        <w:tc>
          <w:tcPr>
            <w:tcW w:w="395"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48</w:t>
            </w:r>
          </w:p>
        </w:tc>
        <w:tc>
          <w:tcPr>
            <w:tcW w:w="97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12</w:t>
            </w:r>
          </w:p>
        </w:tc>
        <w:tc>
          <w:tcPr>
            <w:tcW w:w="441"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　</w:t>
            </w:r>
          </w:p>
        </w:tc>
        <w:tc>
          <w:tcPr>
            <w:tcW w:w="53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w:t>
            </w:r>
          </w:p>
        </w:tc>
        <w:tc>
          <w:tcPr>
            <w:tcW w:w="500" w:type="dxa"/>
            <w:shd w:val="clear" w:color="auto" w:fill="FFFFFF"/>
            <w:vAlign w:val="center"/>
          </w:tcPr>
          <w:p>
            <w:pPr>
              <w:widowControl/>
              <w:jc w:val="center"/>
              <w:rPr>
                <w:rFonts w:ascii="宋体" w:hAnsi="宋体" w:eastAsia="宋体" w:cs="宋体"/>
                <w:color w:val="000000"/>
                <w:kern w:val="0"/>
                <w:sz w:val="18"/>
                <w:szCs w:val="18"/>
                <w:lang w:bidi="ar"/>
              </w:rPr>
            </w:pPr>
          </w:p>
        </w:tc>
        <w:tc>
          <w:tcPr>
            <w:tcW w:w="541" w:type="dxa"/>
            <w:shd w:val="clear" w:color="auto" w:fill="FFFFFF"/>
            <w:vAlign w:val="center"/>
          </w:tcPr>
          <w:p>
            <w:pPr>
              <w:widowControl/>
              <w:jc w:val="center"/>
              <w:rPr>
                <w:rFonts w:ascii="宋体" w:hAnsi="宋体" w:eastAsia="宋体" w:cs="宋体"/>
                <w:color w:val="000000"/>
                <w:kern w:val="0"/>
                <w:sz w:val="18"/>
                <w:szCs w:val="18"/>
                <w:lang w:bidi="ar"/>
              </w:rPr>
            </w:pPr>
          </w:p>
        </w:tc>
        <w:tc>
          <w:tcPr>
            <w:tcW w:w="489" w:type="dxa"/>
            <w:shd w:val="clear" w:color="auto" w:fill="FFFFFF"/>
            <w:vAlign w:val="center"/>
          </w:tcPr>
          <w:p>
            <w:pPr>
              <w:widowControl/>
              <w:jc w:val="center"/>
              <w:rPr>
                <w:rFonts w:ascii="宋体" w:hAnsi="宋体" w:eastAsia="宋体" w:cs="宋体"/>
                <w:color w:val="000000"/>
                <w:kern w:val="0"/>
                <w:sz w:val="18"/>
                <w:szCs w:val="18"/>
                <w:lang w:bidi="ar"/>
              </w:rPr>
            </w:pPr>
          </w:p>
        </w:tc>
        <w:tc>
          <w:tcPr>
            <w:tcW w:w="551" w:type="dxa"/>
            <w:shd w:val="clear" w:color="auto" w:fill="FFFFFF"/>
            <w:vAlign w:val="center"/>
          </w:tcPr>
          <w:p>
            <w:pPr>
              <w:widowControl/>
              <w:jc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第二外语（德语）</w:t>
            </w:r>
          </w:p>
        </w:tc>
        <w:tc>
          <w:tcPr>
            <w:tcW w:w="344"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441" w:type="dxa"/>
            <w:shd w:val="clear" w:color="auto" w:fill="FFFFFF"/>
            <w:vAlign w:val="center"/>
          </w:tcPr>
          <w:p>
            <w:pPr>
              <w:widowControl/>
              <w:jc w:val="center"/>
              <w:rPr>
                <w:rFonts w:ascii="宋体" w:hAnsi="宋体" w:eastAsia="宋体" w:cs="宋体"/>
                <w:color w:val="000000"/>
                <w:kern w:val="0"/>
                <w:sz w:val="18"/>
                <w:szCs w:val="18"/>
                <w:lang w:bidi="ar"/>
              </w:rPr>
            </w:pPr>
          </w:p>
        </w:tc>
        <w:tc>
          <w:tcPr>
            <w:tcW w:w="538" w:type="dxa"/>
            <w:shd w:val="clear" w:color="auto" w:fill="FFFFFF"/>
            <w:vAlign w:val="center"/>
          </w:tcPr>
          <w:p>
            <w:pPr>
              <w:widowControl/>
              <w:jc w:val="center"/>
              <w:rPr>
                <w:rFonts w:ascii="宋体" w:hAnsi="宋体" w:eastAsia="宋体" w:cs="宋体"/>
                <w:color w:val="000000"/>
                <w:kern w:val="0"/>
                <w:sz w:val="18"/>
                <w:szCs w:val="18"/>
                <w:lang w:bidi="ar"/>
              </w:rPr>
            </w:pPr>
          </w:p>
        </w:tc>
        <w:tc>
          <w:tcPr>
            <w:tcW w:w="500" w:type="dxa"/>
            <w:shd w:val="clear" w:color="auto" w:fill="FFFFFF"/>
            <w:vAlign w:val="center"/>
          </w:tcPr>
          <w:p>
            <w:pPr>
              <w:widowControl/>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41" w:type="dxa"/>
            <w:shd w:val="clear" w:color="auto" w:fill="FFFFFF"/>
            <w:vAlign w:val="center"/>
          </w:tcPr>
          <w:p>
            <w:pPr>
              <w:widowControl/>
              <w:jc w:val="center"/>
              <w:rPr>
                <w:rFonts w:ascii="宋体" w:hAnsi="宋体" w:eastAsia="宋体" w:cs="宋体"/>
                <w:color w:val="000000"/>
                <w:kern w:val="0"/>
                <w:sz w:val="18"/>
                <w:szCs w:val="18"/>
                <w:lang w:bidi="ar"/>
              </w:rPr>
            </w:pPr>
          </w:p>
        </w:tc>
        <w:tc>
          <w:tcPr>
            <w:tcW w:w="489" w:type="dxa"/>
            <w:shd w:val="clear" w:color="auto" w:fill="FFFFFF"/>
            <w:vAlign w:val="center"/>
          </w:tcPr>
          <w:p>
            <w:pPr>
              <w:widowControl/>
              <w:jc w:val="center"/>
              <w:rPr>
                <w:rFonts w:ascii="宋体" w:hAnsi="宋体" w:eastAsia="宋体" w:cs="宋体"/>
                <w:color w:val="000000"/>
                <w:kern w:val="0"/>
                <w:sz w:val="18"/>
                <w:szCs w:val="18"/>
                <w:lang w:bidi="ar"/>
              </w:rPr>
            </w:pPr>
          </w:p>
        </w:tc>
        <w:tc>
          <w:tcPr>
            <w:tcW w:w="551" w:type="dxa"/>
            <w:shd w:val="clear" w:color="auto" w:fill="FFFFFF"/>
            <w:vAlign w:val="center"/>
          </w:tcPr>
          <w:p>
            <w:pPr>
              <w:widowControl/>
              <w:jc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高等数学3</w:t>
            </w:r>
          </w:p>
        </w:tc>
        <w:tc>
          <w:tcPr>
            <w:tcW w:w="344"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395"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128</w:t>
            </w:r>
          </w:p>
        </w:tc>
        <w:tc>
          <w:tcPr>
            <w:tcW w:w="97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441"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　</w:t>
            </w:r>
          </w:p>
        </w:tc>
        <w:tc>
          <w:tcPr>
            <w:tcW w:w="53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　</w:t>
            </w:r>
          </w:p>
        </w:tc>
        <w:tc>
          <w:tcPr>
            <w:tcW w:w="500"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　</w:t>
            </w:r>
          </w:p>
        </w:tc>
        <w:tc>
          <w:tcPr>
            <w:tcW w:w="541"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489" w:type="dxa"/>
            <w:shd w:val="clear" w:color="auto" w:fill="FFFFFF"/>
            <w:vAlign w:val="center"/>
          </w:tcPr>
          <w:p>
            <w:pPr>
              <w:jc w:val="center"/>
              <w:rPr>
                <w:rFonts w:ascii="宋体" w:hAnsi="宋体" w:eastAsia="宋体" w:cs="宋体"/>
                <w:color w:val="000000"/>
                <w:kern w:val="0"/>
                <w:sz w:val="18"/>
                <w:szCs w:val="18"/>
                <w:lang w:bidi="ar"/>
              </w:rPr>
            </w:pPr>
          </w:p>
        </w:tc>
        <w:tc>
          <w:tcPr>
            <w:tcW w:w="551" w:type="dxa"/>
            <w:shd w:val="clear" w:color="auto" w:fill="FFFFFF"/>
            <w:vAlign w:val="center"/>
          </w:tcPr>
          <w:p>
            <w:pPr>
              <w:widowControl/>
              <w:jc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1"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BD4B4" w:themeFill="accent6" w:themeFillTint="66"/>
            <w:vAlign w:val="center"/>
          </w:tcPr>
          <w:p>
            <w:pPr>
              <w:jc w:val="center"/>
              <w:rPr>
                <w:rFonts w:ascii="宋体" w:hAnsi="宋体" w:eastAsia="宋体" w:cs="宋体"/>
                <w:b/>
                <w:color w:val="000000"/>
                <w:sz w:val="18"/>
                <w:szCs w:val="18"/>
              </w:rPr>
            </w:pPr>
            <w:r>
              <w:rPr>
                <w:rFonts w:ascii="宋体" w:hAnsi="宋体" w:eastAsia="宋体" w:cs="宋体"/>
                <w:b/>
                <w:color w:val="000000"/>
                <w:sz w:val="18"/>
                <w:szCs w:val="18"/>
              </w:rPr>
              <w:t>小计</w:t>
            </w:r>
          </w:p>
        </w:tc>
        <w:tc>
          <w:tcPr>
            <w:tcW w:w="344" w:type="dxa"/>
            <w:shd w:val="clear" w:color="auto" w:fill="FBD4B4" w:themeFill="accent6" w:themeFillTint="66"/>
            <w:vAlign w:val="center"/>
          </w:tcPr>
          <w:p>
            <w:pPr>
              <w:jc w:val="center"/>
              <w:rPr>
                <w:rFonts w:cs="宋体" w:asciiTheme="minorEastAsia" w:hAnsiTheme="minorEastAsia"/>
                <w:b/>
                <w:bCs/>
                <w:color w:val="000000"/>
                <w:sz w:val="20"/>
                <w:szCs w:val="20"/>
              </w:rPr>
            </w:pPr>
            <w:r>
              <w:rPr>
                <w:rFonts w:hint="eastAsia" w:asciiTheme="minorEastAsia" w:hAnsiTheme="minorEastAsia"/>
                <w:b/>
                <w:bCs/>
                <w:color w:val="000000"/>
                <w:sz w:val="20"/>
                <w:szCs w:val="20"/>
              </w:rPr>
              <w:t>2</w:t>
            </w:r>
            <w:r>
              <w:rPr>
                <w:rFonts w:asciiTheme="minorEastAsia" w:hAnsiTheme="minorEastAsia"/>
                <w:b/>
                <w:bCs/>
                <w:color w:val="000000"/>
                <w:sz w:val="20"/>
                <w:szCs w:val="20"/>
              </w:rPr>
              <w:t>0</w:t>
            </w:r>
          </w:p>
        </w:tc>
        <w:tc>
          <w:tcPr>
            <w:tcW w:w="395" w:type="dxa"/>
            <w:shd w:val="clear" w:color="auto" w:fill="FBD4B4" w:themeFill="accent6" w:themeFillTint="66"/>
            <w:vAlign w:val="center"/>
          </w:tcPr>
          <w:p>
            <w:pPr>
              <w:jc w:val="center"/>
              <w:rPr>
                <w:rFonts w:cs="宋体" w:asciiTheme="minorEastAsia" w:hAnsiTheme="minorEastAsia"/>
                <w:b/>
                <w:bCs/>
                <w:color w:val="000000"/>
                <w:sz w:val="20"/>
                <w:szCs w:val="20"/>
              </w:rPr>
            </w:pPr>
            <w:r>
              <w:rPr>
                <w:rFonts w:asciiTheme="minorEastAsia" w:hAnsiTheme="minorEastAsia"/>
                <w:b/>
                <w:bCs/>
                <w:color w:val="000000"/>
                <w:sz w:val="20"/>
                <w:szCs w:val="20"/>
              </w:rPr>
              <w:t>320</w:t>
            </w:r>
          </w:p>
        </w:tc>
        <w:tc>
          <w:tcPr>
            <w:tcW w:w="978" w:type="dxa"/>
            <w:shd w:val="clear" w:color="auto" w:fill="FBD4B4" w:themeFill="accent6" w:themeFillTint="66"/>
            <w:vAlign w:val="center"/>
          </w:tcPr>
          <w:p>
            <w:pPr>
              <w:jc w:val="center"/>
              <w:rPr>
                <w:rFonts w:cs="宋体" w:asciiTheme="minorEastAsia" w:hAnsiTheme="minorEastAsia"/>
                <w:b/>
                <w:bCs/>
                <w:color w:val="000000"/>
                <w:sz w:val="20"/>
                <w:szCs w:val="20"/>
              </w:rPr>
            </w:pPr>
            <w:r>
              <w:rPr>
                <w:rFonts w:hint="eastAsia" w:asciiTheme="minorEastAsia" w:hAnsiTheme="minorEastAsia"/>
                <w:b/>
                <w:bCs/>
                <w:color w:val="000000"/>
                <w:sz w:val="20"/>
                <w:szCs w:val="20"/>
              </w:rPr>
              <w:t>0</w:t>
            </w:r>
          </w:p>
        </w:tc>
        <w:tc>
          <w:tcPr>
            <w:tcW w:w="686" w:type="dxa"/>
            <w:shd w:val="clear" w:color="auto" w:fill="FBD4B4" w:themeFill="accent6" w:themeFillTint="66"/>
            <w:vAlign w:val="center"/>
          </w:tcPr>
          <w:p>
            <w:pPr>
              <w:jc w:val="center"/>
              <w:rPr>
                <w:rFonts w:cs="宋体" w:asciiTheme="minorEastAsia" w:hAnsiTheme="minorEastAsia"/>
                <w:b/>
                <w:bCs/>
                <w:color w:val="000000"/>
                <w:sz w:val="20"/>
                <w:szCs w:val="20"/>
              </w:rPr>
            </w:pPr>
            <w:r>
              <w:rPr>
                <w:rFonts w:asciiTheme="minorEastAsia" w:hAnsiTheme="minorEastAsia"/>
                <w:b/>
                <w:bCs/>
                <w:color w:val="000000"/>
                <w:sz w:val="20"/>
                <w:szCs w:val="20"/>
              </w:rPr>
              <w:t>64</w:t>
            </w:r>
          </w:p>
        </w:tc>
        <w:tc>
          <w:tcPr>
            <w:tcW w:w="441" w:type="dxa"/>
            <w:shd w:val="clear" w:color="auto" w:fill="FBD4B4" w:themeFill="accent6" w:themeFillTint="66"/>
            <w:vAlign w:val="center"/>
          </w:tcPr>
          <w:p>
            <w:pPr>
              <w:jc w:val="center"/>
              <w:rPr>
                <w:rFonts w:cs="宋体" w:asciiTheme="minorEastAsia" w:hAnsiTheme="minorEastAsia"/>
                <w:b/>
                <w:bCs/>
                <w:color w:val="000000"/>
                <w:sz w:val="20"/>
                <w:szCs w:val="20"/>
              </w:rPr>
            </w:pPr>
            <w:r>
              <w:rPr>
                <w:rFonts w:hint="eastAsia" w:asciiTheme="minorEastAsia" w:hAnsiTheme="minorEastAsia"/>
                <w:b/>
                <w:bCs/>
                <w:color w:val="000000"/>
                <w:sz w:val="20"/>
                <w:szCs w:val="20"/>
              </w:rPr>
              <w:t>3</w:t>
            </w:r>
          </w:p>
        </w:tc>
        <w:tc>
          <w:tcPr>
            <w:tcW w:w="538" w:type="dxa"/>
            <w:shd w:val="clear" w:color="auto" w:fill="FBD4B4" w:themeFill="accent6" w:themeFillTint="66"/>
            <w:vAlign w:val="center"/>
          </w:tcPr>
          <w:p>
            <w:pPr>
              <w:jc w:val="center"/>
              <w:rPr>
                <w:rFonts w:cs="宋体" w:asciiTheme="minorEastAsia" w:hAnsiTheme="minorEastAsia"/>
                <w:b/>
                <w:bCs/>
                <w:color w:val="000000"/>
                <w:sz w:val="20"/>
                <w:szCs w:val="20"/>
              </w:rPr>
            </w:pPr>
            <w:r>
              <w:rPr>
                <w:rFonts w:hint="eastAsia" w:asciiTheme="minorEastAsia" w:hAnsiTheme="minorEastAsia"/>
                <w:b/>
                <w:bCs/>
                <w:color w:val="000000"/>
                <w:sz w:val="20"/>
                <w:szCs w:val="20"/>
              </w:rPr>
              <w:t>3</w:t>
            </w:r>
          </w:p>
        </w:tc>
        <w:tc>
          <w:tcPr>
            <w:tcW w:w="500" w:type="dxa"/>
            <w:shd w:val="clear" w:color="auto" w:fill="FBD4B4" w:themeFill="accent6" w:themeFillTint="66"/>
            <w:vAlign w:val="center"/>
          </w:tcPr>
          <w:p>
            <w:pPr>
              <w:jc w:val="center"/>
              <w:rPr>
                <w:rFonts w:cs="宋体" w:asciiTheme="minorEastAsia" w:hAnsiTheme="minorEastAsia"/>
                <w:b/>
                <w:bCs/>
                <w:color w:val="000000"/>
                <w:sz w:val="20"/>
                <w:szCs w:val="20"/>
              </w:rPr>
            </w:pPr>
            <w:r>
              <w:rPr>
                <w:rFonts w:asciiTheme="minorEastAsia" w:hAnsiTheme="minorEastAsia"/>
                <w:b/>
                <w:bCs/>
                <w:color w:val="000000"/>
                <w:sz w:val="20"/>
                <w:szCs w:val="20"/>
              </w:rPr>
              <w:t>4</w:t>
            </w:r>
          </w:p>
        </w:tc>
        <w:tc>
          <w:tcPr>
            <w:tcW w:w="541" w:type="dxa"/>
            <w:shd w:val="clear" w:color="auto" w:fill="FBD4B4" w:themeFill="accent6" w:themeFillTint="66"/>
            <w:vAlign w:val="center"/>
          </w:tcPr>
          <w:p>
            <w:pPr>
              <w:jc w:val="center"/>
              <w:rPr>
                <w:rFonts w:cs="宋体" w:asciiTheme="minorEastAsia" w:hAnsiTheme="minorEastAsia"/>
                <w:b/>
                <w:bCs/>
                <w:color w:val="000000"/>
                <w:sz w:val="20"/>
                <w:szCs w:val="20"/>
              </w:rPr>
            </w:pPr>
            <w:r>
              <w:rPr>
                <w:rFonts w:asciiTheme="minorEastAsia" w:hAnsiTheme="minorEastAsia"/>
                <w:b/>
                <w:bCs/>
                <w:color w:val="000000"/>
                <w:sz w:val="20"/>
                <w:szCs w:val="20"/>
              </w:rPr>
              <w:t>8</w:t>
            </w:r>
          </w:p>
        </w:tc>
        <w:tc>
          <w:tcPr>
            <w:tcW w:w="489" w:type="dxa"/>
            <w:shd w:val="clear" w:color="auto" w:fill="FBD4B4" w:themeFill="accent6" w:themeFillTint="66"/>
            <w:vAlign w:val="center"/>
          </w:tcPr>
          <w:p>
            <w:pPr>
              <w:jc w:val="center"/>
              <w:rPr>
                <w:rFonts w:cs="宋体" w:asciiTheme="minorEastAsia" w:hAnsiTheme="minorEastAsia"/>
                <w:b/>
                <w:bCs/>
                <w:color w:val="000000"/>
                <w:sz w:val="20"/>
                <w:szCs w:val="20"/>
              </w:rPr>
            </w:pPr>
            <w:r>
              <w:rPr>
                <w:rFonts w:hint="eastAsia" w:asciiTheme="minorEastAsia" w:hAnsiTheme="minorEastAsia"/>
                <w:b/>
                <w:bCs/>
                <w:color w:val="000000"/>
                <w:sz w:val="20"/>
                <w:szCs w:val="20"/>
              </w:rPr>
              <w:t>2</w:t>
            </w:r>
          </w:p>
        </w:tc>
        <w:tc>
          <w:tcPr>
            <w:tcW w:w="551" w:type="dxa"/>
            <w:shd w:val="clear" w:color="auto" w:fill="FBD4B4" w:themeFill="accent6" w:themeFillTint="66"/>
            <w:vAlign w:val="center"/>
          </w:tcPr>
          <w:p>
            <w:pPr>
              <w:jc w:val="center"/>
              <w:rPr>
                <w:rFonts w:cs="宋体" w:asciiTheme="minorEastAsia" w:hAnsiTheme="minorEastAsia"/>
                <w:b/>
                <w:bCs/>
                <w:color w:val="000000"/>
                <w:sz w:val="20"/>
                <w:szCs w:val="20"/>
              </w:rPr>
            </w:pPr>
            <w:r>
              <w:rPr>
                <w:rFonts w:hint="eastAsia" w:asciiTheme="minorEastAsia" w:hAnsiTheme="minorEastAsia"/>
                <w:b/>
                <w:bCs/>
                <w:color w:val="00000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restart"/>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专业必修</w:t>
            </w: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电工基础1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96</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工程制图与测绘</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48</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技术机械与设计</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金工实训</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电工基础2</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96</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信息技术1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模拟电路原理与应用</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48</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信息技术2</w:t>
            </w:r>
          </w:p>
        </w:tc>
        <w:tc>
          <w:tcPr>
            <w:tcW w:w="344"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jc w:val="center"/>
              <w:rPr>
                <w:rFonts w:ascii="宋体" w:hAnsi="宋体" w:eastAsia="宋体" w:cs="宋体"/>
                <w:color w:val="000000"/>
                <w:kern w:val="0"/>
                <w:sz w:val="18"/>
                <w:szCs w:val="18"/>
                <w:lang w:bidi="ar"/>
              </w:rPr>
            </w:pPr>
          </w:p>
        </w:tc>
        <w:tc>
          <w:tcPr>
            <w:tcW w:w="538" w:type="dxa"/>
            <w:shd w:val="clear" w:color="auto" w:fill="FFFFFF"/>
            <w:vAlign w:val="center"/>
          </w:tcPr>
          <w:p>
            <w:pPr>
              <w:jc w:val="center"/>
              <w:rPr>
                <w:rFonts w:ascii="宋体" w:hAnsi="宋体" w:eastAsia="宋体" w:cs="宋体"/>
                <w:color w:val="000000"/>
                <w:kern w:val="0"/>
                <w:sz w:val="18"/>
                <w:szCs w:val="18"/>
                <w:lang w:bidi="ar"/>
              </w:rPr>
            </w:pPr>
          </w:p>
        </w:tc>
        <w:tc>
          <w:tcPr>
            <w:tcW w:w="500"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电工电子基础实训</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电子元件</w:t>
            </w:r>
          </w:p>
        </w:tc>
        <w:tc>
          <w:tcPr>
            <w:tcW w:w="344"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w:t>
            </w:r>
          </w:p>
        </w:tc>
        <w:tc>
          <w:tcPr>
            <w:tcW w:w="395"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96</w:t>
            </w:r>
          </w:p>
        </w:tc>
        <w:tc>
          <w:tcPr>
            <w:tcW w:w="97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441" w:type="dxa"/>
            <w:shd w:val="clear" w:color="auto" w:fill="FFFFFF"/>
            <w:vAlign w:val="center"/>
          </w:tcPr>
          <w:p>
            <w:pPr>
              <w:jc w:val="center"/>
              <w:rPr>
                <w:rFonts w:ascii="宋体" w:hAnsi="宋体" w:eastAsia="宋体" w:cs="宋体"/>
                <w:color w:val="000000"/>
                <w:kern w:val="0"/>
                <w:sz w:val="18"/>
                <w:szCs w:val="18"/>
                <w:lang w:bidi="ar"/>
              </w:rPr>
            </w:pPr>
          </w:p>
        </w:tc>
        <w:tc>
          <w:tcPr>
            <w:tcW w:w="538" w:type="dxa"/>
            <w:shd w:val="clear" w:color="auto" w:fill="FFFFFF"/>
            <w:vAlign w:val="center"/>
          </w:tcPr>
          <w:p>
            <w:pPr>
              <w:jc w:val="center"/>
              <w:rPr>
                <w:rFonts w:ascii="宋体" w:hAnsi="宋体" w:eastAsia="宋体" w:cs="宋体"/>
                <w:color w:val="000000"/>
                <w:kern w:val="0"/>
                <w:sz w:val="18"/>
                <w:szCs w:val="18"/>
                <w:lang w:bidi="ar"/>
              </w:rPr>
            </w:pPr>
          </w:p>
        </w:tc>
        <w:tc>
          <w:tcPr>
            <w:tcW w:w="500"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w:t>
            </w: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tcPr>
          <w:p>
            <w:pP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化学与材料技术</w:t>
            </w:r>
          </w:p>
        </w:tc>
        <w:tc>
          <w:tcPr>
            <w:tcW w:w="344" w:type="dxa"/>
            <w:shd w:val="clear" w:color="auto" w:fill="FFFFFF"/>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395" w:type="dxa"/>
            <w:shd w:val="clear" w:color="auto" w:fill="FFFFFF"/>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64</w:t>
            </w:r>
          </w:p>
        </w:tc>
        <w:tc>
          <w:tcPr>
            <w:tcW w:w="978" w:type="dxa"/>
            <w:shd w:val="clear" w:color="auto" w:fill="FFFFFF"/>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12</w:t>
            </w:r>
          </w:p>
        </w:tc>
        <w:tc>
          <w:tcPr>
            <w:tcW w:w="441" w:type="dxa"/>
            <w:shd w:val="clear" w:color="auto" w:fill="FFFFFF"/>
          </w:tcPr>
          <w:p>
            <w:pPr>
              <w:jc w:val="center"/>
              <w:rPr>
                <w:rFonts w:ascii="宋体" w:hAnsi="宋体" w:eastAsia="宋体" w:cs="宋体"/>
                <w:color w:val="000000"/>
                <w:kern w:val="0"/>
                <w:sz w:val="18"/>
                <w:szCs w:val="18"/>
                <w:lang w:bidi="ar"/>
              </w:rPr>
            </w:pPr>
          </w:p>
        </w:tc>
        <w:tc>
          <w:tcPr>
            <w:tcW w:w="538" w:type="dxa"/>
            <w:shd w:val="clear" w:color="auto" w:fill="FFFFFF"/>
          </w:tcPr>
          <w:p>
            <w:pPr>
              <w:jc w:val="center"/>
              <w:rPr>
                <w:rFonts w:ascii="宋体" w:hAnsi="宋体" w:eastAsia="宋体" w:cs="宋体"/>
                <w:color w:val="000000"/>
                <w:kern w:val="0"/>
                <w:sz w:val="18"/>
                <w:szCs w:val="18"/>
                <w:lang w:bidi="ar"/>
              </w:rPr>
            </w:pPr>
          </w:p>
        </w:tc>
        <w:tc>
          <w:tcPr>
            <w:tcW w:w="500" w:type="dxa"/>
            <w:shd w:val="clear" w:color="auto" w:fill="FFFFFF"/>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41" w:type="dxa"/>
            <w:shd w:val="clear" w:color="auto" w:fill="FFFFFF"/>
          </w:tcPr>
          <w:p>
            <w:pPr>
              <w:jc w:val="center"/>
              <w:rPr>
                <w:rFonts w:hint="eastAsia" w:ascii="宋体" w:hAnsi="宋体" w:eastAsia="宋体" w:cs="宋体"/>
                <w:color w:val="000000"/>
                <w:kern w:val="0"/>
                <w:sz w:val="18"/>
                <w:szCs w:val="18"/>
                <w:lang w:bidi="ar"/>
              </w:rPr>
            </w:pPr>
          </w:p>
        </w:tc>
        <w:tc>
          <w:tcPr>
            <w:tcW w:w="489" w:type="dxa"/>
            <w:shd w:val="clear" w:color="auto" w:fill="FFFFFF"/>
          </w:tcPr>
          <w:p>
            <w:pPr>
              <w:jc w:val="center"/>
              <w:rPr>
                <w:rFonts w:ascii="宋体" w:hAnsi="宋体" w:eastAsia="宋体" w:cs="宋体"/>
                <w:color w:val="000000"/>
                <w:kern w:val="0"/>
                <w:sz w:val="18"/>
                <w:szCs w:val="18"/>
                <w:lang w:bidi="ar"/>
              </w:rPr>
            </w:pPr>
          </w:p>
        </w:tc>
        <w:tc>
          <w:tcPr>
            <w:tcW w:w="551" w:type="dxa"/>
            <w:shd w:val="clear" w:color="auto" w:fill="FFFFFF"/>
          </w:tcPr>
          <w:p>
            <w:pPr>
              <w:jc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电气动（MPS）实训</w:t>
            </w:r>
          </w:p>
        </w:tc>
        <w:tc>
          <w:tcPr>
            <w:tcW w:w="344"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60</w:t>
            </w:r>
          </w:p>
        </w:tc>
        <w:tc>
          <w:tcPr>
            <w:tcW w:w="97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60</w:t>
            </w:r>
          </w:p>
        </w:tc>
        <w:tc>
          <w:tcPr>
            <w:tcW w:w="441" w:type="dxa"/>
            <w:shd w:val="clear" w:color="auto" w:fill="FFFFFF"/>
            <w:vAlign w:val="center"/>
          </w:tcPr>
          <w:p>
            <w:pPr>
              <w:jc w:val="center"/>
              <w:rPr>
                <w:rFonts w:ascii="宋体" w:hAnsi="宋体" w:eastAsia="宋体" w:cs="宋体"/>
                <w:color w:val="000000"/>
                <w:kern w:val="0"/>
                <w:sz w:val="18"/>
                <w:szCs w:val="18"/>
                <w:lang w:bidi="ar"/>
              </w:rPr>
            </w:pPr>
          </w:p>
        </w:tc>
        <w:tc>
          <w:tcPr>
            <w:tcW w:w="538" w:type="dxa"/>
            <w:shd w:val="clear" w:color="auto" w:fill="FFFFFF"/>
            <w:vAlign w:val="center"/>
          </w:tcPr>
          <w:p>
            <w:pPr>
              <w:jc w:val="center"/>
              <w:rPr>
                <w:rFonts w:ascii="宋体" w:hAnsi="宋体" w:eastAsia="宋体" w:cs="宋体"/>
                <w:color w:val="000000"/>
                <w:kern w:val="0"/>
                <w:sz w:val="18"/>
                <w:szCs w:val="18"/>
                <w:lang w:bidi="ar"/>
              </w:rPr>
            </w:pPr>
          </w:p>
        </w:tc>
        <w:tc>
          <w:tcPr>
            <w:tcW w:w="500" w:type="dxa"/>
            <w:shd w:val="clear" w:color="auto" w:fill="FFFFFF"/>
            <w:vAlign w:val="center"/>
          </w:tcPr>
          <w:p>
            <w:pPr>
              <w:jc w:val="center"/>
              <w:rPr>
                <w:rFonts w:ascii="宋体" w:hAnsi="宋体" w:eastAsia="宋体" w:cs="宋体"/>
                <w:color w:val="000000"/>
                <w:kern w:val="0"/>
                <w:sz w:val="18"/>
                <w:szCs w:val="18"/>
                <w:lang w:bidi="ar"/>
              </w:rPr>
            </w:pPr>
          </w:p>
        </w:tc>
        <w:tc>
          <w:tcPr>
            <w:tcW w:w="541"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数字技术</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96</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widowControl/>
              <w:jc w:val="center"/>
              <w:textAlignment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测量技术2</w:t>
            </w:r>
          </w:p>
        </w:tc>
        <w:tc>
          <w:tcPr>
            <w:tcW w:w="344"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3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00"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电机与驱动技术</w:t>
            </w:r>
          </w:p>
        </w:tc>
        <w:tc>
          <w:tcPr>
            <w:tcW w:w="344"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w:t>
            </w:r>
          </w:p>
        </w:tc>
        <w:tc>
          <w:tcPr>
            <w:tcW w:w="395"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96</w:t>
            </w:r>
          </w:p>
        </w:tc>
        <w:tc>
          <w:tcPr>
            <w:tcW w:w="97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64</w:t>
            </w:r>
          </w:p>
        </w:tc>
        <w:tc>
          <w:tcPr>
            <w:tcW w:w="441" w:type="dxa"/>
            <w:shd w:val="clear" w:color="auto" w:fill="FFFFFF"/>
            <w:vAlign w:val="center"/>
          </w:tcPr>
          <w:p>
            <w:pPr>
              <w:jc w:val="center"/>
              <w:rPr>
                <w:rFonts w:ascii="宋体" w:hAnsi="宋体" w:eastAsia="宋体" w:cs="宋体"/>
                <w:color w:val="000000"/>
                <w:kern w:val="0"/>
                <w:sz w:val="18"/>
                <w:szCs w:val="18"/>
                <w:lang w:bidi="ar"/>
              </w:rPr>
            </w:pPr>
          </w:p>
        </w:tc>
        <w:tc>
          <w:tcPr>
            <w:tcW w:w="538" w:type="dxa"/>
            <w:shd w:val="clear" w:color="auto" w:fill="FFFFFF"/>
            <w:vAlign w:val="center"/>
          </w:tcPr>
          <w:p>
            <w:pPr>
              <w:jc w:val="center"/>
              <w:rPr>
                <w:rFonts w:ascii="宋体" w:hAnsi="宋体" w:eastAsia="宋体" w:cs="宋体"/>
                <w:color w:val="000000"/>
                <w:kern w:val="0"/>
                <w:sz w:val="18"/>
                <w:szCs w:val="18"/>
                <w:lang w:bidi="ar"/>
              </w:rPr>
            </w:pPr>
          </w:p>
        </w:tc>
        <w:tc>
          <w:tcPr>
            <w:tcW w:w="500" w:type="dxa"/>
            <w:shd w:val="clear" w:color="auto" w:fill="FFFFFF"/>
            <w:vAlign w:val="center"/>
          </w:tcPr>
          <w:p>
            <w:pPr>
              <w:jc w:val="center"/>
              <w:rPr>
                <w:rFonts w:ascii="宋体" w:hAnsi="宋体" w:eastAsia="宋体" w:cs="宋体"/>
                <w:color w:val="000000"/>
                <w:kern w:val="0"/>
                <w:sz w:val="18"/>
                <w:szCs w:val="18"/>
                <w:lang w:bidi="ar"/>
              </w:rPr>
            </w:pPr>
          </w:p>
        </w:tc>
        <w:tc>
          <w:tcPr>
            <w:tcW w:w="541"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w:t>
            </w:r>
          </w:p>
        </w:tc>
        <w:tc>
          <w:tcPr>
            <w:tcW w:w="489" w:type="dxa"/>
            <w:shd w:val="clear" w:color="auto" w:fill="FFFFFF"/>
            <w:vAlign w:val="center"/>
          </w:tcPr>
          <w:p>
            <w:pPr>
              <w:jc w:val="center"/>
              <w:rPr>
                <w:rFonts w:ascii="宋体" w:hAnsi="宋体" w:eastAsia="宋体" w:cs="宋体"/>
                <w:color w:val="000000"/>
                <w:sz w:val="18"/>
                <w:szCs w:val="18"/>
                <w:highlight w:val="yellow"/>
              </w:rPr>
            </w:pPr>
          </w:p>
        </w:tc>
        <w:tc>
          <w:tcPr>
            <w:tcW w:w="551" w:type="dxa"/>
            <w:shd w:val="clear" w:color="auto" w:fill="FFFFFF"/>
            <w:vAlign w:val="center"/>
          </w:tcPr>
          <w:p>
            <w:pPr>
              <w:jc w:val="center"/>
              <w:rPr>
                <w:rFonts w:ascii="宋体" w:hAnsi="宋体" w:eastAsia="宋体" w:cs="宋体"/>
                <w:color w:val="000000"/>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tcPr>
          <w:p>
            <w:pP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C++程序设计</w:t>
            </w:r>
          </w:p>
        </w:tc>
        <w:tc>
          <w:tcPr>
            <w:tcW w:w="344" w:type="dxa"/>
            <w:shd w:val="clear" w:color="auto" w:fill="FFFFFF"/>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395" w:type="dxa"/>
            <w:shd w:val="clear" w:color="auto" w:fill="FFFFFF"/>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64</w:t>
            </w:r>
          </w:p>
        </w:tc>
        <w:tc>
          <w:tcPr>
            <w:tcW w:w="978" w:type="dxa"/>
            <w:shd w:val="clear" w:color="auto" w:fill="FFFFFF"/>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441" w:type="dxa"/>
            <w:shd w:val="clear" w:color="auto" w:fill="FFFFFF"/>
          </w:tcPr>
          <w:p>
            <w:pPr>
              <w:jc w:val="center"/>
              <w:rPr>
                <w:rFonts w:ascii="宋体" w:hAnsi="宋体" w:eastAsia="宋体" w:cs="宋体"/>
                <w:color w:val="000000"/>
                <w:kern w:val="0"/>
                <w:sz w:val="18"/>
                <w:szCs w:val="18"/>
                <w:lang w:bidi="ar"/>
              </w:rPr>
            </w:pPr>
          </w:p>
        </w:tc>
        <w:tc>
          <w:tcPr>
            <w:tcW w:w="538" w:type="dxa"/>
            <w:shd w:val="clear" w:color="auto" w:fill="FFFFFF"/>
          </w:tcPr>
          <w:p>
            <w:pPr>
              <w:jc w:val="center"/>
              <w:rPr>
                <w:rFonts w:ascii="宋体" w:hAnsi="宋体" w:eastAsia="宋体" w:cs="宋体"/>
                <w:color w:val="000000"/>
                <w:kern w:val="0"/>
                <w:sz w:val="18"/>
                <w:szCs w:val="18"/>
                <w:lang w:bidi="ar"/>
              </w:rPr>
            </w:pPr>
          </w:p>
        </w:tc>
        <w:tc>
          <w:tcPr>
            <w:tcW w:w="500" w:type="dxa"/>
            <w:shd w:val="clear" w:color="auto" w:fill="FFFFFF"/>
          </w:tcPr>
          <w:p>
            <w:pPr>
              <w:jc w:val="center"/>
              <w:rPr>
                <w:rFonts w:ascii="宋体" w:hAnsi="宋体" w:eastAsia="宋体" w:cs="宋体"/>
                <w:color w:val="000000"/>
                <w:kern w:val="0"/>
                <w:sz w:val="18"/>
                <w:szCs w:val="18"/>
                <w:lang w:bidi="ar"/>
              </w:rPr>
            </w:pPr>
          </w:p>
        </w:tc>
        <w:tc>
          <w:tcPr>
            <w:tcW w:w="541" w:type="dxa"/>
            <w:shd w:val="clear" w:color="auto" w:fill="FFFFFF"/>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489" w:type="dxa"/>
            <w:shd w:val="clear" w:color="auto" w:fill="FFFFFF"/>
          </w:tcPr>
          <w:p>
            <w:pPr>
              <w:jc w:val="center"/>
              <w:rPr>
                <w:rFonts w:ascii="宋体" w:hAnsi="宋体" w:eastAsia="宋体" w:cs="宋体"/>
                <w:color w:val="000000"/>
                <w:kern w:val="0"/>
                <w:sz w:val="18"/>
                <w:szCs w:val="18"/>
                <w:lang w:bidi="ar"/>
              </w:rPr>
            </w:pPr>
          </w:p>
        </w:tc>
        <w:tc>
          <w:tcPr>
            <w:tcW w:w="551" w:type="dxa"/>
            <w:shd w:val="clear" w:color="auto" w:fill="FFFFFF"/>
          </w:tcPr>
          <w:p>
            <w:pPr>
              <w:jc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专业英语</w:t>
            </w:r>
          </w:p>
        </w:tc>
        <w:tc>
          <w:tcPr>
            <w:tcW w:w="344"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jc w:val="center"/>
              <w:rPr>
                <w:rFonts w:ascii="宋体" w:hAnsi="宋体" w:eastAsia="宋体" w:cs="宋体"/>
                <w:color w:val="000000"/>
                <w:kern w:val="0"/>
                <w:sz w:val="18"/>
                <w:szCs w:val="18"/>
                <w:lang w:bidi="ar"/>
              </w:rPr>
            </w:pPr>
          </w:p>
        </w:tc>
        <w:tc>
          <w:tcPr>
            <w:tcW w:w="538" w:type="dxa"/>
            <w:shd w:val="clear" w:color="auto" w:fill="FFFFFF"/>
            <w:vAlign w:val="center"/>
          </w:tcPr>
          <w:p>
            <w:pPr>
              <w:jc w:val="center"/>
              <w:rPr>
                <w:rFonts w:ascii="宋体" w:hAnsi="宋体" w:eastAsia="宋体" w:cs="宋体"/>
                <w:color w:val="000000"/>
                <w:kern w:val="0"/>
                <w:sz w:val="18"/>
                <w:szCs w:val="18"/>
                <w:lang w:bidi="ar"/>
              </w:rPr>
            </w:pPr>
          </w:p>
        </w:tc>
        <w:tc>
          <w:tcPr>
            <w:tcW w:w="500"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41" w:type="dxa"/>
            <w:shd w:val="clear" w:color="auto" w:fill="FFFFFF"/>
            <w:vAlign w:val="center"/>
          </w:tcPr>
          <w:p>
            <w:pPr>
              <w:jc w:val="center"/>
              <w:rPr>
                <w:rFonts w:ascii="宋体" w:hAnsi="宋体" w:eastAsia="宋体" w:cs="宋体"/>
                <w:color w:val="000000"/>
                <w:kern w:val="0"/>
                <w:sz w:val="18"/>
                <w:szCs w:val="18"/>
                <w:lang w:bidi="ar"/>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控制技术（PLC及气、液压技术）</w:t>
            </w:r>
          </w:p>
        </w:tc>
        <w:tc>
          <w:tcPr>
            <w:tcW w:w="344"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441" w:type="dxa"/>
            <w:shd w:val="clear" w:color="auto" w:fill="FFFFFF"/>
            <w:vAlign w:val="center"/>
          </w:tcPr>
          <w:p>
            <w:pPr>
              <w:jc w:val="center"/>
              <w:rPr>
                <w:rFonts w:ascii="宋体" w:hAnsi="宋体" w:eastAsia="宋体" w:cs="宋体"/>
                <w:color w:val="000000"/>
                <w:kern w:val="0"/>
                <w:sz w:val="18"/>
                <w:szCs w:val="18"/>
                <w:lang w:bidi="ar"/>
              </w:rPr>
            </w:pPr>
          </w:p>
        </w:tc>
        <w:tc>
          <w:tcPr>
            <w:tcW w:w="538" w:type="dxa"/>
            <w:shd w:val="clear" w:color="auto" w:fill="FFFFFF"/>
            <w:vAlign w:val="center"/>
          </w:tcPr>
          <w:p>
            <w:pPr>
              <w:jc w:val="center"/>
              <w:rPr>
                <w:rFonts w:ascii="宋体" w:hAnsi="宋体" w:eastAsia="宋体" w:cs="宋体"/>
                <w:color w:val="000000"/>
                <w:kern w:val="0"/>
                <w:sz w:val="18"/>
                <w:szCs w:val="18"/>
                <w:lang w:bidi="ar"/>
              </w:rPr>
            </w:pPr>
          </w:p>
        </w:tc>
        <w:tc>
          <w:tcPr>
            <w:tcW w:w="500" w:type="dxa"/>
            <w:shd w:val="clear" w:color="auto" w:fill="FFFFFF"/>
            <w:vAlign w:val="center"/>
          </w:tcPr>
          <w:p>
            <w:pPr>
              <w:jc w:val="center"/>
              <w:rPr>
                <w:rFonts w:ascii="宋体" w:hAnsi="宋体" w:eastAsia="宋体" w:cs="宋体"/>
                <w:color w:val="000000"/>
                <w:kern w:val="0"/>
                <w:sz w:val="18"/>
                <w:szCs w:val="18"/>
                <w:lang w:bidi="ar"/>
              </w:rPr>
            </w:pPr>
          </w:p>
        </w:tc>
        <w:tc>
          <w:tcPr>
            <w:tcW w:w="541" w:type="dxa"/>
            <w:shd w:val="clear" w:color="auto" w:fill="FFFFFF"/>
            <w:vAlign w:val="center"/>
          </w:tcPr>
          <w:p>
            <w:pPr>
              <w:jc w:val="center"/>
              <w:rPr>
                <w:rFonts w:ascii="宋体" w:hAnsi="宋体" w:eastAsia="宋体" w:cs="宋体"/>
                <w:color w:val="000000"/>
                <w:kern w:val="0"/>
                <w:sz w:val="18"/>
                <w:szCs w:val="18"/>
                <w:lang w:bidi="ar"/>
              </w:rPr>
            </w:pPr>
          </w:p>
        </w:tc>
        <w:tc>
          <w:tcPr>
            <w:tcW w:w="489"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51" w:type="dxa"/>
            <w:shd w:val="clear" w:color="auto" w:fill="FFFFFF"/>
            <w:vAlign w:val="center"/>
          </w:tcPr>
          <w:p>
            <w:pPr>
              <w:jc w:val="center"/>
              <w:rPr>
                <w:rFonts w:ascii="宋体" w:hAnsi="宋体" w:eastAsia="宋体" w:cs="宋体"/>
                <w:color w:val="000000"/>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调节技术</w:t>
            </w:r>
          </w:p>
        </w:tc>
        <w:tc>
          <w:tcPr>
            <w:tcW w:w="344"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w:t>
            </w:r>
          </w:p>
        </w:tc>
        <w:tc>
          <w:tcPr>
            <w:tcW w:w="395"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96</w:t>
            </w:r>
          </w:p>
        </w:tc>
        <w:tc>
          <w:tcPr>
            <w:tcW w:w="97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441" w:type="dxa"/>
            <w:shd w:val="clear" w:color="auto" w:fill="FFFFFF"/>
            <w:vAlign w:val="center"/>
          </w:tcPr>
          <w:p>
            <w:pPr>
              <w:jc w:val="center"/>
              <w:rPr>
                <w:rFonts w:ascii="宋体" w:hAnsi="宋体" w:eastAsia="宋体" w:cs="宋体"/>
                <w:color w:val="000000"/>
                <w:kern w:val="0"/>
                <w:sz w:val="18"/>
                <w:szCs w:val="18"/>
                <w:lang w:bidi="ar"/>
              </w:rPr>
            </w:pPr>
          </w:p>
        </w:tc>
        <w:tc>
          <w:tcPr>
            <w:tcW w:w="538" w:type="dxa"/>
            <w:shd w:val="clear" w:color="auto" w:fill="FFFFFF"/>
            <w:vAlign w:val="center"/>
          </w:tcPr>
          <w:p>
            <w:pPr>
              <w:jc w:val="center"/>
              <w:rPr>
                <w:rFonts w:ascii="宋体" w:hAnsi="宋体" w:eastAsia="宋体" w:cs="宋体"/>
                <w:color w:val="000000"/>
                <w:kern w:val="0"/>
                <w:sz w:val="18"/>
                <w:szCs w:val="18"/>
                <w:lang w:bidi="ar"/>
              </w:rPr>
            </w:pPr>
          </w:p>
        </w:tc>
        <w:tc>
          <w:tcPr>
            <w:tcW w:w="500" w:type="dxa"/>
            <w:shd w:val="clear" w:color="auto" w:fill="FFFFFF"/>
            <w:vAlign w:val="center"/>
          </w:tcPr>
          <w:p>
            <w:pPr>
              <w:jc w:val="center"/>
              <w:rPr>
                <w:rFonts w:ascii="宋体" w:hAnsi="宋体" w:eastAsia="宋体" w:cs="宋体"/>
                <w:color w:val="000000"/>
                <w:kern w:val="0"/>
                <w:sz w:val="18"/>
                <w:szCs w:val="18"/>
                <w:lang w:bidi="ar"/>
              </w:rPr>
            </w:pPr>
          </w:p>
        </w:tc>
        <w:tc>
          <w:tcPr>
            <w:tcW w:w="541" w:type="dxa"/>
            <w:shd w:val="clear" w:color="auto" w:fill="FFFFFF"/>
            <w:vAlign w:val="center"/>
          </w:tcPr>
          <w:p>
            <w:pPr>
              <w:jc w:val="center"/>
              <w:rPr>
                <w:rFonts w:ascii="宋体" w:hAnsi="宋体" w:eastAsia="宋体" w:cs="宋体"/>
                <w:color w:val="000000"/>
                <w:kern w:val="0"/>
                <w:sz w:val="18"/>
                <w:szCs w:val="18"/>
                <w:lang w:bidi="ar"/>
              </w:rPr>
            </w:pPr>
          </w:p>
        </w:tc>
        <w:tc>
          <w:tcPr>
            <w:tcW w:w="489"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w:t>
            </w:r>
          </w:p>
        </w:tc>
        <w:tc>
          <w:tcPr>
            <w:tcW w:w="551" w:type="dxa"/>
            <w:shd w:val="clear" w:color="auto" w:fill="FFFFFF"/>
            <w:vAlign w:val="center"/>
          </w:tcPr>
          <w:p>
            <w:pPr>
              <w:jc w:val="center"/>
              <w:rPr>
                <w:rFonts w:ascii="宋体" w:hAnsi="宋体" w:eastAsia="宋体" w:cs="宋体"/>
                <w:color w:val="000000"/>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自动化技术</w:t>
            </w:r>
          </w:p>
        </w:tc>
        <w:tc>
          <w:tcPr>
            <w:tcW w:w="344"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w:t>
            </w:r>
          </w:p>
        </w:tc>
        <w:tc>
          <w:tcPr>
            <w:tcW w:w="395"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96</w:t>
            </w:r>
          </w:p>
        </w:tc>
        <w:tc>
          <w:tcPr>
            <w:tcW w:w="97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64</w:t>
            </w:r>
          </w:p>
        </w:tc>
        <w:tc>
          <w:tcPr>
            <w:tcW w:w="441" w:type="dxa"/>
            <w:shd w:val="clear" w:color="auto" w:fill="FFFFFF"/>
            <w:vAlign w:val="center"/>
          </w:tcPr>
          <w:p>
            <w:pPr>
              <w:jc w:val="center"/>
              <w:rPr>
                <w:rFonts w:ascii="宋体" w:hAnsi="宋体" w:eastAsia="宋体" w:cs="宋体"/>
                <w:color w:val="000000"/>
                <w:kern w:val="0"/>
                <w:sz w:val="18"/>
                <w:szCs w:val="18"/>
                <w:lang w:bidi="ar"/>
              </w:rPr>
            </w:pPr>
          </w:p>
        </w:tc>
        <w:tc>
          <w:tcPr>
            <w:tcW w:w="538" w:type="dxa"/>
            <w:shd w:val="clear" w:color="auto" w:fill="FFFFFF"/>
            <w:vAlign w:val="center"/>
          </w:tcPr>
          <w:p>
            <w:pPr>
              <w:jc w:val="center"/>
              <w:rPr>
                <w:rFonts w:ascii="宋体" w:hAnsi="宋体" w:eastAsia="宋体" w:cs="宋体"/>
                <w:color w:val="000000"/>
                <w:kern w:val="0"/>
                <w:sz w:val="18"/>
                <w:szCs w:val="18"/>
                <w:lang w:bidi="ar"/>
              </w:rPr>
            </w:pPr>
          </w:p>
        </w:tc>
        <w:tc>
          <w:tcPr>
            <w:tcW w:w="500" w:type="dxa"/>
            <w:shd w:val="clear" w:color="auto" w:fill="FFFFFF"/>
            <w:vAlign w:val="center"/>
          </w:tcPr>
          <w:p>
            <w:pPr>
              <w:jc w:val="center"/>
              <w:rPr>
                <w:rFonts w:ascii="宋体" w:hAnsi="宋体" w:eastAsia="宋体" w:cs="宋体"/>
                <w:color w:val="000000"/>
                <w:kern w:val="0"/>
                <w:sz w:val="18"/>
                <w:szCs w:val="18"/>
                <w:lang w:bidi="ar"/>
              </w:rPr>
            </w:pPr>
          </w:p>
        </w:tc>
        <w:tc>
          <w:tcPr>
            <w:tcW w:w="541" w:type="dxa"/>
            <w:shd w:val="clear" w:color="auto" w:fill="FFFFFF"/>
            <w:vAlign w:val="center"/>
          </w:tcPr>
          <w:p>
            <w:pPr>
              <w:jc w:val="center"/>
              <w:rPr>
                <w:rFonts w:ascii="宋体" w:hAnsi="宋体" w:eastAsia="宋体" w:cs="宋体"/>
                <w:color w:val="000000"/>
                <w:kern w:val="0"/>
                <w:sz w:val="18"/>
                <w:szCs w:val="18"/>
                <w:lang w:bidi="ar"/>
              </w:rPr>
            </w:pPr>
          </w:p>
        </w:tc>
        <w:tc>
          <w:tcPr>
            <w:tcW w:w="489"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w:t>
            </w: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机电一体化系统</w:t>
            </w:r>
          </w:p>
        </w:tc>
        <w:tc>
          <w:tcPr>
            <w:tcW w:w="344"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w:t>
            </w:r>
          </w:p>
        </w:tc>
        <w:tc>
          <w:tcPr>
            <w:tcW w:w="395"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96</w:t>
            </w:r>
          </w:p>
        </w:tc>
        <w:tc>
          <w:tcPr>
            <w:tcW w:w="978"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64</w:t>
            </w:r>
          </w:p>
        </w:tc>
        <w:tc>
          <w:tcPr>
            <w:tcW w:w="441" w:type="dxa"/>
            <w:shd w:val="clear" w:color="auto" w:fill="FFFFFF"/>
            <w:vAlign w:val="center"/>
          </w:tcPr>
          <w:p>
            <w:pPr>
              <w:jc w:val="center"/>
              <w:rPr>
                <w:rFonts w:ascii="宋体" w:hAnsi="宋体" w:eastAsia="宋体" w:cs="宋体"/>
                <w:color w:val="000000"/>
                <w:kern w:val="0"/>
                <w:sz w:val="18"/>
                <w:szCs w:val="18"/>
                <w:lang w:bidi="ar"/>
              </w:rPr>
            </w:pPr>
          </w:p>
        </w:tc>
        <w:tc>
          <w:tcPr>
            <w:tcW w:w="538" w:type="dxa"/>
            <w:shd w:val="clear" w:color="auto" w:fill="FFFFFF"/>
            <w:vAlign w:val="center"/>
          </w:tcPr>
          <w:p>
            <w:pPr>
              <w:jc w:val="center"/>
              <w:rPr>
                <w:rFonts w:ascii="宋体" w:hAnsi="宋体" w:eastAsia="宋体" w:cs="宋体"/>
                <w:color w:val="000000"/>
                <w:kern w:val="0"/>
                <w:sz w:val="18"/>
                <w:szCs w:val="18"/>
                <w:lang w:bidi="ar"/>
              </w:rPr>
            </w:pPr>
          </w:p>
        </w:tc>
        <w:tc>
          <w:tcPr>
            <w:tcW w:w="500" w:type="dxa"/>
            <w:shd w:val="clear" w:color="auto" w:fill="FFFFFF"/>
            <w:vAlign w:val="center"/>
          </w:tcPr>
          <w:p>
            <w:pPr>
              <w:jc w:val="center"/>
              <w:rPr>
                <w:rFonts w:ascii="宋体" w:hAnsi="宋体" w:eastAsia="宋体" w:cs="宋体"/>
                <w:color w:val="000000"/>
                <w:kern w:val="0"/>
                <w:sz w:val="18"/>
                <w:szCs w:val="18"/>
                <w:lang w:bidi="ar"/>
              </w:rPr>
            </w:pPr>
          </w:p>
        </w:tc>
        <w:tc>
          <w:tcPr>
            <w:tcW w:w="541" w:type="dxa"/>
            <w:shd w:val="clear" w:color="auto" w:fill="FFFFFF"/>
            <w:vAlign w:val="center"/>
          </w:tcPr>
          <w:p>
            <w:pPr>
              <w:jc w:val="center"/>
              <w:rPr>
                <w:rFonts w:ascii="宋体" w:hAnsi="宋体" w:eastAsia="宋体" w:cs="宋体"/>
                <w:color w:val="000000"/>
                <w:kern w:val="0"/>
                <w:sz w:val="18"/>
                <w:szCs w:val="18"/>
                <w:lang w:bidi="ar"/>
              </w:rPr>
            </w:pPr>
          </w:p>
        </w:tc>
        <w:tc>
          <w:tcPr>
            <w:tcW w:w="489" w:type="dxa"/>
            <w:shd w:val="clear" w:color="auto" w:fill="FFFFFF"/>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w:t>
            </w: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认识实习</w:t>
            </w:r>
          </w:p>
        </w:tc>
        <w:tc>
          <w:tcPr>
            <w:tcW w:w="344"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60</w:t>
            </w:r>
          </w:p>
        </w:tc>
        <w:tc>
          <w:tcPr>
            <w:tcW w:w="97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60</w:t>
            </w:r>
          </w:p>
        </w:tc>
        <w:tc>
          <w:tcPr>
            <w:tcW w:w="4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53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0" w:type="dxa"/>
            <w:shd w:val="clear" w:color="auto" w:fill="FFFFFF"/>
            <w:vAlign w:val="center"/>
          </w:tcPr>
          <w:p>
            <w:pPr>
              <w:jc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54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9" w:type="dxa"/>
            <w:shd w:val="clear" w:color="auto" w:fill="FFFFFF"/>
            <w:vAlign w:val="center"/>
          </w:tcPr>
          <w:p>
            <w:pPr>
              <w:widowControl/>
              <w:jc w:val="center"/>
              <w:textAlignment w:val="center"/>
              <w:rPr>
                <w:rFonts w:ascii="宋体" w:hAnsi="宋体" w:eastAsia="宋体" w:cs="宋体"/>
                <w:color w:val="000000"/>
                <w:sz w:val="18"/>
                <w:szCs w:val="18"/>
              </w:rPr>
            </w:pP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岗位实习1</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240</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240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8周</w:t>
            </w:r>
          </w:p>
        </w:tc>
        <w:tc>
          <w:tcPr>
            <w:tcW w:w="551" w:type="dxa"/>
            <w:shd w:val="clear" w:color="auto" w:fill="FFFFFF"/>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岗位实习2</w:t>
            </w:r>
          </w:p>
        </w:tc>
        <w:tc>
          <w:tcPr>
            <w:tcW w:w="344"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395"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420</w:t>
            </w:r>
          </w:p>
        </w:tc>
        <w:tc>
          <w:tcPr>
            <w:tcW w:w="978"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480</w:t>
            </w:r>
          </w:p>
        </w:tc>
        <w:tc>
          <w:tcPr>
            <w:tcW w:w="441" w:type="dxa"/>
            <w:shd w:val="clear" w:color="auto" w:fill="FFFFFF"/>
            <w:vAlign w:val="center"/>
          </w:tcPr>
          <w:p>
            <w:pPr>
              <w:jc w:val="center"/>
              <w:rPr>
                <w:rFonts w:ascii="宋体" w:hAnsi="宋体" w:eastAsia="宋体" w:cs="宋体"/>
                <w:color w:val="000000"/>
                <w:sz w:val="18"/>
                <w:szCs w:val="18"/>
              </w:rPr>
            </w:pPr>
          </w:p>
        </w:tc>
        <w:tc>
          <w:tcPr>
            <w:tcW w:w="538" w:type="dxa"/>
            <w:shd w:val="clear" w:color="auto" w:fill="FFFFFF"/>
            <w:vAlign w:val="center"/>
          </w:tcPr>
          <w:p>
            <w:pPr>
              <w:jc w:val="center"/>
              <w:rPr>
                <w:rFonts w:ascii="宋体" w:hAnsi="宋体" w:eastAsia="宋体" w:cs="宋体"/>
                <w:color w:val="000000"/>
                <w:sz w:val="18"/>
                <w:szCs w:val="18"/>
              </w:rPr>
            </w:pPr>
          </w:p>
        </w:tc>
        <w:tc>
          <w:tcPr>
            <w:tcW w:w="500" w:type="dxa"/>
            <w:shd w:val="clear" w:color="auto" w:fill="FFFFFF"/>
            <w:vAlign w:val="center"/>
          </w:tcPr>
          <w:p>
            <w:pPr>
              <w:jc w:val="center"/>
              <w:rPr>
                <w:rFonts w:ascii="宋体" w:hAnsi="宋体" w:eastAsia="宋体" w:cs="宋体"/>
                <w:color w:val="000000"/>
                <w:sz w:val="18"/>
                <w:szCs w:val="18"/>
              </w:rPr>
            </w:pPr>
          </w:p>
        </w:tc>
        <w:tc>
          <w:tcPr>
            <w:tcW w:w="541" w:type="dxa"/>
            <w:shd w:val="clear" w:color="auto" w:fill="FFFFFF"/>
            <w:vAlign w:val="center"/>
          </w:tcPr>
          <w:p>
            <w:pPr>
              <w:jc w:val="center"/>
              <w:rPr>
                <w:rFonts w:ascii="宋体" w:hAnsi="宋体" w:eastAsia="宋体" w:cs="宋体"/>
                <w:color w:val="000000"/>
                <w:sz w:val="18"/>
                <w:szCs w:val="18"/>
              </w:rPr>
            </w:pPr>
          </w:p>
        </w:tc>
        <w:tc>
          <w:tcPr>
            <w:tcW w:w="489" w:type="dxa"/>
            <w:shd w:val="clear" w:color="auto" w:fill="FFFFFF"/>
            <w:vAlign w:val="center"/>
          </w:tcPr>
          <w:p>
            <w:pPr>
              <w:jc w:val="center"/>
              <w:rPr>
                <w:rFonts w:ascii="宋体" w:hAnsi="宋体" w:eastAsia="宋体" w:cs="宋体"/>
                <w:color w:val="000000"/>
                <w:sz w:val="18"/>
                <w:szCs w:val="18"/>
              </w:rPr>
            </w:pPr>
          </w:p>
        </w:tc>
        <w:tc>
          <w:tcPr>
            <w:tcW w:w="551" w:type="dxa"/>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14周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BD4B4" w:themeFill="accent6" w:themeFillTint="66"/>
            <w:vAlign w:val="center"/>
          </w:tcPr>
          <w:p>
            <w:pPr>
              <w:jc w:val="center"/>
              <w:rPr>
                <w:rFonts w:ascii="宋体" w:hAnsi="宋体" w:eastAsia="宋体" w:cs="宋体"/>
                <w:b/>
                <w:color w:val="000000"/>
                <w:sz w:val="18"/>
                <w:szCs w:val="18"/>
              </w:rPr>
            </w:pPr>
            <w:r>
              <w:rPr>
                <w:rFonts w:hint="eastAsia" w:ascii="宋体" w:hAnsi="宋体" w:eastAsia="宋体" w:cs="宋体"/>
                <w:b/>
                <w:color w:val="000000"/>
                <w:sz w:val="18"/>
                <w:szCs w:val="18"/>
              </w:rPr>
              <w:t>小计</w:t>
            </w:r>
          </w:p>
        </w:tc>
        <w:tc>
          <w:tcPr>
            <w:tcW w:w="344" w:type="dxa"/>
            <w:shd w:val="clear" w:color="auto" w:fill="FBD4B4" w:themeFill="accent6" w:themeFillTint="66"/>
            <w:vAlign w:val="center"/>
          </w:tcPr>
          <w:p>
            <w:pPr>
              <w:widowControl/>
              <w:jc w:val="center"/>
              <w:textAlignment w:val="center"/>
              <w:rPr>
                <w:rFonts w:ascii="宋体" w:hAnsi="宋体" w:eastAsia="宋体" w:cs="宋体"/>
                <w:color w:val="000000"/>
                <w:kern w:val="0"/>
                <w:sz w:val="18"/>
                <w:szCs w:val="18"/>
                <w:lang w:bidi="ar"/>
              </w:rPr>
            </w:pPr>
            <w:r>
              <w:rPr>
                <w:rFonts w:ascii="宋体" w:hAnsi="宋体" w:eastAsia="宋体" w:cs="宋体"/>
                <w:color w:val="000000"/>
                <w:kern w:val="0"/>
                <w:sz w:val="18"/>
                <w:szCs w:val="18"/>
                <w:lang w:bidi="ar"/>
              </w:rPr>
              <w:t>116</w:t>
            </w:r>
          </w:p>
        </w:tc>
        <w:tc>
          <w:tcPr>
            <w:tcW w:w="395" w:type="dxa"/>
            <w:shd w:val="clear" w:color="auto" w:fill="FBD4B4" w:themeFill="accent6" w:themeFillTint="66"/>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r>
              <w:rPr>
                <w:rFonts w:ascii="宋体" w:hAnsi="宋体" w:eastAsia="宋体" w:cs="宋体"/>
                <w:color w:val="000000"/>
                <w:kern w:val="0"/>
                <w:sz w:val="18"/>
                <w:szCs w:val="18"/>
                <w:lang w:bidi="ar"/>
              </w:rPr>
              <w:t>276</w:t>
            </w:r>
          </w:p>
        </w:tc>
        <w:tc>
          <w:tcPr>
            <w:tcW w:w="978" w:type="dxa"/>
            <w:shd w:val="clear" w:color="auto" w:fill="FBD4B4" w:themeFill="accent6" w:themeFillTint="66"/>
            <w:vAlign w:val="center"/>
          </w:tcPr>
          <w:p>
            <w:pPr>
              <w:widowControl/>
              <w:jc w:val="center"/>
              <w:textAlignment w:val="center"/>
              <w:rPr>
                <w:rFonts w:ascii="宋体" w:hAnsi="宋体" w:eastAsia="宋体" w:cs="宋体"/>
                <w:color w:val="000000"/>
                <w:kern w:val="0"/>
                <w:sz w:val="18"/>
                <w:szCs w:val="18"/>
                <w:lang w:bidi="ar"/>
              </w:rPr>
            </w:pPr>
          </w:p>
        </w:tc>
        <w:tc>
          <w:tcPr>
            <w:tcW w:w="686" w:type="dxa"/>
            <w:shd w:val="clear" w:color="auto" w:fill="FBD4B4" w:themeFill="accent6" w:themeFillTint="66"/>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14</w:t>
            </w:r>
            <w:r>
              <w:rPr>
                <w:rFonts w:ascii="宋体" w:hAnsi="宋体" w:eastAsia="宋体" w:cs="宋体"/>
                <w:color w:val="000000"/>
                <w:kern w:val="0"/>
                <w:sz w:val="18"/>
                <w:szCs w:val="18"/>
                <w:lang w:bidi="ar"/>
              </w:rPr>
              <w:t>70</w:t>
            </w:r>
          </w:p>
        </w:tc>
        <w:tc>
          <w:tcPr>
            <w:tcW w:w="441" w:type="dxa"/>
            <w:shd w:val="clear" w:color="auto" w:fill="FBD4B4" w:themeFill="accent6" w:themeFillTint="66"/>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13</w:t>
            </w:r>
          </w:p>
        </w:tc>
        <w:tc>
          <w:tcPr>
            <w:tcW w:w="538" w:type="dxa"/>
            <w:shd w:val="clear" w:color="auto" w:fill="FBD4B4" w:themeFill="accent6" w:themeFillTint="66"/>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17</w:t>
            </w:r>
          </w:p>
        </w:tc>
        <w:tc>
          <w:tcPr>
            <w:tcW w:w="500" w:type="dxa"/>
            <w:shd w:val="clear" w:color="auto" w:fill="FBD4B4" w:themeFill="accent6" w:themeFillTint="66"/>
            <w:vAlign w:val="center"/>
          </w:tcPr>
          <w:p>
            <w:pPr>
              <w:widowControl/>
              <w:jc w:val="center"/>
              <w:textAlignment w:val="center"/>
              <w:rPr>
                <w:rFonts w:ascii="宋体" w:hAnsi="宋体" w:eastAsia="宋体" w:cs="宋体"/>
                <w:color w:val="000000"/>
                <w:kern w:val="0"/>
                <w:sz w:val="18"/>
                <w:szCs w:val="18"/>
                <w:lang w:bidi="ar"/>
              </w:rPr>
            </w:pPr>
            <w:r>
              <w:rPr>
                <w:rFonts w:ascii="宋体" w:hAnsi="宋体" w:eastAsia="宋体" w:cs="宋体"/>
                <w:color w:val="000000"/>
                <w:kern w:val="0"/>
                <w:sz w:val="18"/>
                <w:szCs w:val="18"/>
                <w:lang w:bidi="ar"/>
              </w:rPr>
              <w:t>20</w:t>
            </w:r>
          </w:p>
        </w:tc>
        <w:tc>
          <w:tcPr>
            <w:tcW w:w="541" w:type="dxa"/>
            <w:shd w:val="clear" w:color="auto" w:fill="FBD4B4" w:themeFill="accent6" w:themeFillTint="66"/>
            <w:vAlign w:val="center"/>
          </w:tcPr>
          <w:p>
            <w:pPr>
              <w:widowControl/>
              <w:jc w:val="center"/>
              <w:textAlignment w:val="center"/>
              <w:rPr>
                <w:rFonts w:ascii="宋体" w:hAnsi="宋体" w:eastAsia="宋体" w:cs="宋体"/>
                <w:color w:val="000000"/>
                <w:kern w:val="0"/>
                <w:sz w:val="18"/>
                <w:szCs w:val="18"/>
                <w:lang w:bidi="ar"/>
              </w:rPr>
            </w:pPr>
            <w:r>
              <w:rPr>
                <w:rFonts w:ascii="宋体" w:hAnsi="宋体" w:eastAsia="宋体" w:cs="宋体"/>
                <w:color w:val="000000"/>
                <w:kern w:val="0"/>
                <w:sz w:val="18"/>
                <w:szCs w:val="18"/>
                <w:lang w:bidi="ar"/>
              </w:rPr>
              <w:t>22</w:t>
            </w:r>
          </w:p>
        </w:tc>
        <w:tc>
          <w:tcPr>
            <w:tcW w:w="489" w:type="dxa"/>
            <w:shd w:val="clear" w:color="auto" w:fill="FBD4B4" w:themeFill="accent6" w:themeFillTint="66"/>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30</w:t>
            </w:r>
          </w:p>
        </w:tc>
        <w:tc>
          <w:tcPr>
            <w:tcW w:w="551" w:type="dxa"/>
            <w:shd w:val="clear" w:color="auto" w:fill="FBD4B4" w:themeFill="accent6" w:themeFillTint="66"/>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restart"/>
            <w:shd w:val="clear" w:color="auto" w:fill="FFFFFF"/>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专业选修</w:t>
            </w:r>
          </w:p>
        </w:tc>
        <w:tc>
          <w:tcPr>
            <w:tcW w:w="2465" w:type="dxa"/>
            <w:shd w:val="clear" w:color="auto" w:fill="FFFFFF"/>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机械CAD</w:t>
            </w:r>
          </w:p>
        </w:tc>
        <w:tc>
          <w:tcPr>
            <w:tcW w:w="344"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3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00"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5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489"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5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2465" w:type="dxa"/>
            <w:shd w:val="clear" w:color="auto" w:fill="FFFFFF"/>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数控原理与编程</w:t>
            </w:r>
          </w:p>
        </w:tc>
        <w:tc>
          <w:tcPr>
            <w:tcW w:w="344"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4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3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00"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489"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5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2465" w:type="dxa"/>
            <w:shd w:val="clear" w:color="auto" w:fill="FFFFFF"/>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企业管理</w:t>
            </w:r>
          </w:p>
        </w:tc>
        <w:tc>
          <w:tcPr>
            <w:tcW w:w="344"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8</w:t>
            </w:r>
          </w:p>
        </w:tc>
        <w:tc>
          <w:tcPr>
            <w:tcW w:w="4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3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00"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489"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5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2465" w:type="dxa"/>
            <w:shd w:val="clear" w:color="auto" w:fill="FFFFFF"/>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创新创业教育</w:t>
            </w:r>
          </w:p>
        </w:tc>
        <w:tc>
          <w:tcPr>
            <w:tcW w:w="344"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3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00"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489"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5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2465" w:type="dxa"/>
            <w:shd w:val="clear" w:color="auto" w:fill="FFFFFF"/>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电工基础3</w:t>
            </w:r>
          </w:p>
        </w:tc>
        <w:tc>
          <w:tcPr>
            <w:tcW w:w="344"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395"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64</w:t>
            </w:r>
          </w:p>
        </w:tc>
        <w:tc>
          <w:tcPr>
            <w:tcW w:w="97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考试</w:t>
            </w:r>
          </w:p>
        </w:tc>
        <w:tc>
          <w:tcPr>
            <w:tcW w:w="686"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w:t>
            </w:r>
          </w:p>
        </w:tc>
        <w:tc>
          <w:tcPr>
            <w:tcW w:w="4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3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00"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489"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55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项目任务（电路技术+微控制技术）</w:t>
            </w:r>
          </w:p>
        </w:tc>
        <w:tc>
          <w:tcPr>
            <w:tcW w:w="344"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w:t>
            </w:r>
          </w:p>
        </w:tc>
        <w:tc>
          <w:tcPr>
            <w:tcW w:w="395"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96</w:t>
            </w:r>
          </w:p>
        </w:tc>
        <w:tc>
          <w:tcPr>
            <w:tcW w:w="97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96</w:t>
            </w:r>
          </w:p>
        </w:tc>
        <w:tc>
          <w:tcPr>
            <w:tcW w:w="4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3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00"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489"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5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FFFFF"/>
            <w:vAlign w:val="center"/>
          </w:tcPr>
          <w:p>
            <w:pPr>
              <w:widowControl/>
              <w:jc w:val="left"/>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AHK自动化综合课程</w:t>
            </w:r>
          </w:p>
        </w:tc>
        <w:tc>
          <w:tcPr>
            <w:tcW w:w="344"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c>
          <w:tcPr>
            <w:tcW w:w="395"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97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考查</w:t>
            </w:r>
          </w:p>
        </w:tc>
        <w:tc>
          <w:tcPr>
            <w:tcW w:w="686"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4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38"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00"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4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489"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p>
        </w:tc>
        <w:tc>
          <w:tcPr>
            <w:tcW w:w="551" w:type="dxa"/>
            <w:shd w:val="clear" w:color="auto" w:fill="FFFFFF"/>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34" w:type="dxa"/>
            <w:vMerge w:val="continue"/>
            <w:shd w:val="clear" w:color="auto" w:fill="FFFFFF"/>
            <w:vAlign w:val="center"/>
          </w:tcPr>
          <w:p>
            <w:pPr>
              <w:jc w:val="center"/>
              <w:rPr>
                <w:rFonts w:ascii="宋体" w:hAnsi="宋体" w:eastAsia="宋体" w:cs="宋体"/>
                <w:color w:val="000000"/>
                <w:sz w:val="18"/>
                <w:szCs w:val="18"/>
              </w:rPr>
            </w:pPr>
          </w:p>
        </w:tc>
        <w:tc>
          <w:tcPr>
            <w:tcW w:w="2465" w:type="dxa"/>
            <w:shd w:val="clear" w:color="auto" w:fill="FBD4B4" w:themeFill="accent6" w:themeFillTint="66"/>
            <w:vAlign w:val="center"/>
          </w:tcPr>
          <w:p>
            <w:pPr>
              <w:jc w:val="center"/>
              <w:rPr>
                <w:rFonts w:ascii="宋体" w:hAnsi="宋体" w:eastAsia="宋体" w:cs="宋体"/>
                <w:b/>
                <w:color w:val="000000"/>
                <w:sz w:val="18"/>
                <w:szCs w:val="18"/>
              </w:rPr>
            </w:pPr>
            <w:r>
              <w:rPr>
                <w:rFonts w:hint="eastAsia" w:ascii="宋体" w:hAnsi="宋体" w:eastAsia="宋体" w:cs="宋体"/>
                <w:b/>
                <w:color w:val="000000"/>
                <w:sz w:val="18"/>
                <w:szCs w:val="18"/>
              </w:rPr>
              <w:t>小计</w:t>
            </w:r>
          </w:p>
        </w:tc>
        <w:tc>
          <w:tcPr>
            <w:tcW w:w="344" w:type="dxa"/>
            <w:shd w:val="clear" w:color="auto" w:fill="FBD4B4" w:themeFill="accent6" w:themeFillTint="66"/>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10</w:t>
            </w:r>
          </w:p>
        </w:tc>
        <w:tc>
          <w:tcPr>
            <w:tcW w:w="395" w:type="dxa"/>
            <w:shd w:val="clear" w:color="auto" w:fill="FBD4B4" w:themeFill="accent6" w:themeFillTint="66"/>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160</w:t>
            </w:r>
          </w:p>
        </w:tc>
        <w:tc>
          <w:tcPr>
            <w:tcW w:w="978" w:type="dxa"/>
            <w:shd w:val="clear" w:color="auto" w:fill="FBD4B4" w:themeFill="accent6" w:themeFillTint="66"/>
            <w:vAlign w:val="center"/>
          </w:tcPr>
          <w:p>
            <w:pPr>
              <w:jc w:val="center"/>
              <w:rPr>
                <w:rFonts w:ascii="宋体" w:hAnsi="宋体" w:eastAsia="宋体" w:cs="宋体"/>
                <w:color w:val="000000"/>
                <w:kern w:val="0"/>
                <w:sz w:val="18"/>
                <w:szCs w:val="18"/>
                <w:lang w:bidi="ar"/>
              </w:rPr>
            </w:pPr>
          </w:p>
        </w:tc>
        <w:tc>
          <w:tcPr>
            <w:tcW w:w="686" w:type="dxa"/>
            <w:shd w:val="clear" w:color="auto" w:fill="FBD4B4" w:themeFill="accent6" w:themeFillTint="66"/>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72</w:t>
            </w:r>
          </w:p>
        </w:tc>
        <w:tc>
          <w:tcPr>
            <w:tcW w:w="441" w:type="dxa"/>
            <w:shd w:val="clear" w:color="auto" w:fill="FBD4B4" w:themeFill="accent6" w:themeFillTint="66"/>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c>
          <w:tcPr>
            <w:tcW w:w="538" w:type="dxa"/>
            <w:shd w:val="clear" w:color="auto" w:fill="FBD4B4" w:themeFill="accent6" w:themeFillTint="66"/>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c>
          <w:tcPr>
            <w:tcW w:w="500" w:type="dxa"/>
            <w:shd w:val="clear" w:color="auto" w:fill="FBD4B4" w:themeFill="accent6" w:themeFillTint="66"/>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6</w:t>
            </w:r>
          </w:p>
        </w:tc>
        <w:tc>
          <w:tcPr>
            <w:tcW w:w="541" w:type="dxa"/>
            <w:shd w:val="clear" w:color="auto" w:fill="FBD4B4" w:themeFill="accent6" w:themeFillTint="66"/>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c>
          <w:tcPr>
            <w:tcW w:w="489" w:type="dxa"/>
            <w:shd w:val="clear" w:color="auto" w:fill="FBD4B4" w:themeFill="accent6" w:themeFillTint="66"/>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c>
          <w:tcPr>
            <w:tcW w:w="551" w:type="dxa"/>
            <w:shd w:val="clear" w:color="auto" w:fill="FBD4B4" w:themeFill="accent6" w:themeFillTint="66"/>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2899" w:type="dxa"/>
            <w:gridSpan w:val="2"/>
            <w:shd w:val="clear" w:color="auto" w:fill="B6DDE8" w:themeFill="accent5" w:themeFillTint="66"/>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合计</w:t>
            </w:r>
          </w:p>
        </w:tc>
        <w:tc>
          <w:tcPr>
            <w:tcW w:w="344" w:type="dxa"/>
            <w:shd w:val="clear" w:color="auto" w:fill="B6DDE8" w:themeFill="accent5" w:themeFillTint="66"/>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200</w:t>
            </w:r>
          </w:p>
        </w:tc>
        <w:tc>
          <w:tcPr>
            <w:tcW w:w="395" w:type="dxa"/>
            <w:shd w:val="clear" w:color="auto" w:fill="B6DDE8" w:themeFill="accent5" w:themeFillTint="66"/>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3626</w:t>
            </w:r>
          </w:p>
        </w:tc>
        <w:tc>
          <w:tcPr>
            <w:tcW w:w="978" w:type="dxa"/>
            <w:shd w:val="clear" w:color="auto" w:fill="B6DDE8" w:themeFill="accent5" w:themeFillTint="66"/>
            <w:vAlign w:val="center"/>
          </w:tcPr>
          <w:p>
            <w:pPr>
              <w:jc w:val="center"/>
              <w:rPr>
                <w:rFonts w:ascii="宋体" w:hAnsi="宋体" w:eastAsia="宋体" w:cs="宋体"/>
                <w:color w:val="000000"/>
                <w:kern w:val="0"/>
                <w:sz w:val="18"/>
                <w:szCs w:val="18"/>
                <w:lang w:bidi="ar"/>
              </w:rPr>
            </w:pPr>
          </w:p>
        </w:tc>
        <w:tc>
          <w:tcPr>
            <w:tcW w:w="686" w:type="dxa"/>
            <w:shd w:val="clear" w:color="auto" w:fill="B6DDE8" w:themeFill="accent5" w:themeFillTint="66"/>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1828</w:t>
            </w:r>
          </w:p>
        </w:tc>
        <w:tc>
          <w:tcPr>
            <w:tcW w:w="441" w:type="dxa"/>
            <w:shd w:val="clear" w:color="auto" w:fill="B6DDE8" w:themeFill="accent5" w:themeFillTint="66"/>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36</w:t>
            </w:r>
          </w:p>
        </w:tc>
        <w:tc>
          <w:tcPr>
            <w:tcW w:w="538" w:type="dxa"/>
            <w:shd w:val="clear" w:color="auto" w:fill="B6DDE8" w:themeFill="accent5" w:themeFillTint="66"/>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40</w:t>
            </w:r>
          </w:p>
        </w:tc>
        <w:tc>
          <w:tcPr>
            <w:tcW w:w="500" w:type="dxa"/>
            <w:shd w:val="clear" w:color="auto" w:fill="B6DDE8" w:themeFill="accent5" w:themeFillTint="66"/>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38.5</w:t>
            </w:r>
          </w:p>
        </w:tc>
        <w:tc>
          <w:tcPr>
            <w:tcW w:w="541" w:type="dxa"/>
            <w:shd w:val="clear" w:color="auto" w:fill="B6DDE8" w:themeFill="accent5" w:themeFillTint="66"/>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38.5</w:t>
            </w:r>
          </w:p>
        </w:tc>
        <w:tc>
          <w:tcPr>
            <w:tcW w:w="489" w:type="dxa"/>
            <w:shd w:val="clear" w:color="auto" w:fill="B6DDE8" w:themeFill="accent5" w:themeFillTint="66"/>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33</w:t>
            </w:r>
          </w:p>
        </w:tc>
        <w:tc>
          <w:tcPr>
            <w:tcW w:w="551" w:type="dxa"/>
            <w:shd w:val="clear" w:color="auto" w:fill="B6DDE8" w:themeFill="accent5" w:themeFillTint="66"/>
            <w:vAlign w:val="center"/>
          </w:tcPr>
          <w:p>
            <w:pPr>
              <w:jc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14</w:t>
            </w:r>
          </w:p>
        </w:tc>
      </w:tr>
    </w:tbl>
    <w:p>
      <w:pPr>
        <w:numPr>
          <w:ilvl w:val="0"/>
          <w:numId w:val="2"/>
        </w:numPr>
        <w:overflowPunct w:val="0"/>
        <w:adjustRightInd w:val="0"/>
        <w:spacing w:line="276" w:lineRule="auto"/>
        <w:ind w:firstLine="360" w:firstLineChars="200"/>
        <w:rPr>
          <w:rFonts w:ascii="宋体" w:hAnsi="宋体" w:eastAsia="宋体" w:cs="楷体"/>
          <w:sz w:val="18"/>
          <w:szCs w:val="18"/>
        </w:rPr>
      </w:pPr>
      <w:r>
        <w:rPr>
          <w:rFonts w:hint="eastAsia" w:ascii="宋体" w:hAnsi="宋体" w:eastAsia="宋体" w:cs="楷体"/>
          <w:sz w:val="18"/>
          <w:szCs w:val="18"/>
        </w:rPr>
        <w:t>总学分不低于144学分；</w:t>
      </w:r>
    </w:p>
    <w:p>
      <w:pPr>
        <w:numPr>
          <w:ilvl w:val="0"/>
          <w:numId w:val="2"/>
        </w:numPr>
        <w:overflowPunct w:val="0"/>
        <w:adjustRightInd w:val="0"/>
        <w:spacing w:line="276" w:lineRule="auto"/>
        <w:ind w:firstLine="360" w:firstLineChars="200"/>
        <w:rPr>
          <w:rFonts w:ascii="宋体" w:hAnsi="宋体" w:eastAsia="宋体" w:cs="楷体"/>
          <w:sz w:val="18"/>
          <w:szCs w:val="18"/>
        </w:rPr>
      </w:pPr>
      <w:r>
        <w:rPr>
          <w:rFonts w:hint="eastAsia" w:ascii="宋体" w:hAnsi="宋体" w:eastAsia="宋体" w:cs="楷体"/>
          <w:sz w:val="18"/>
          <w:szCs w:val="18"/>
        </w:rPr>
        <w:t>带*符号的为大学生安全教育课程模块中的禁毒课程教育，每学期安排2课时；</w:t>
      </w:r>
    </w:p>
    <w:p>
      <w:pPr>
        <w:numPr>
          <w:ilvl w:val="0"/>
          <w:numId w:val="2"/>
        </w:numPr>
        <w:overflowPunct w:val="0"/>
        <w:adjustRightInd w:val="0"/>
        <w:spacing w:line="276" w:lineRule="auto"/>
        <w:ind w:firstLine="360" w:firstLineChars="200"/>
        <w:rPr>
          <w:rFonts w:ascii="宋体" w:hAnsi="宋体" w:eastAsia="宋体" w:cs="楷体"/>
          <w:sz w:val="18"/>
          <w:szCs w:val="18"/>
        </w:rPr>
      </w:pPr>
      <w:r>
        <w:rPr>
          <w:rFonts w:hint="eastAsia" w:ascii="宋体" w:hAnsi="宋体" w:eastAsia="宋体" w:cs="楷体"/>
          <w:sz w:val="18"/>
          <w:szCs w:val="18"/>
        </w:rPr>
        <w:t>公共艺术选修在2-6学期内完成。</w:t>
      </w:r>
    </w:p>
    <w:p>
      <w:pPr>
        <w:numPr>
          <w:ilvl w:val="0"/>
          <w:numId w:val="2"/>
        </w:numPr>
        <w:overflowPunct w:val="0"/>
        <w:adjustRightInd w:val="0"/>
        <w:spacing w:line="276" w:lineRule="auto"/>
        <w:ind w:firstLine="360" w:firstLineChars="200"/>
        <w:rPr>
          <w:rFonts w:ascii="宋体" w:hAnsi="宋体" w:eastAsia="宋体" w:cs="楷体"/>
          <w:sz w:val="18"/>
          <w:szCs w:val="18"/>
        </w:rPr>
      </w:pPr>
      <w:r>
        <w:rPr>
          <w:rFonts w:hint="eastAsia" w:ascii="宋体" w:hAnsi="宋体" w:eastAsia="宋体" w:cs="楷体"/>
          <w:sz w:val="18"/>
          <w:szCs w:val="18"/>
        </w:rPr>
        <w:t>理论教学不少于16-18学时折合1学分；实训周周课时为30课时，折合1学分；</w:t>
      </w:r>
    </w:p>
    <w:p>
      <w:pPr>
        <w:numPr>
          <w:ilvl w:val="0"/>
          <w:numId w:val="2"/>
        </w:numPr>
        <w:overflowPunct w:val="0"/>
        <w:adjustRightInd w:val="0"/>
        <w:spacing w:line="276" w:lineRule="auto"/>
        <w:ind w:firstLine="360" w:firstLineChars="200"/>
        <w:rPr>
          <w:rFonts w:ascii="宋体" w:hAnsi="宋体" w:eastAsia="宋体" w:cs="楷体"/>
          <w:sz w:val="18"/>
          <w:szCs w:val="18"/>
        </w:rPr>
      </w:pPr>
      <w:r>
        <w:rPr>
          <w:rFonts w:hint="eastAsia" w:ascii="宋体" w:hAnsi="宋体" w:eastAsia="宋体" w:cs="楷体"/>
          <w:sz w:val="18"/>
          <w:szCs w:val="18"/>
        </w:rPr>
        <w:t>实践性课时占总课时不超少于50%</w:t>
      </w:r>
      <w:r>
        <w:rPr>
          <w:rFonts w:ascii="宋体" w:hAnsi="宋体" w:eastAsia="宋体" w:cs="楷体"/>
          <w:sz w:val="18"/>
          <w:szCs w:val="18"/>
        </w:rPr>
        <w:t>；</w:t>
      </w:r>
    </w:p>
    <w:p>
      <w:pPr>
        <w:numPr>
          <w:ilvl w:val="0"/>
          <w:numId w:val="2"/>
        </w:numPr>
        <w:overflowPunct w:val="0"/>
        <w:adjustRightInd w:val="0"/>
        <w:spacing w:line="276" w:lineRule="auto"/>
        <w:ind w:firstLine="360" w:firstLineChars="200"/>
        <w:rPr>
          <w:rFonts w:ascii="宋体" w:hAnsi="宋体" w:eastAsia="宋体" w:cs="楷体"/>
          <w:sz w:val="18"/>
          <w:szCs w:val="18"/>
        </w:rPr>
      </w:pPr>
      <w:r>
        <w:rPr>
          <w:rFonts w:hint="eastAsia" w:ascii="宋体" w:hAnsi="宋体" w:eastAsia="宋体" w:cs="楷体"/>
          <w:sz w:val="18"/>
          <w:szCs w:val="18"/>
        </w:rPr>
        <w:t>按照团委要求，可以通过第二课堂积分制度提出换积分申请，最高上限不超过2学分</w:t>
      </w:r>
      <w:r>
        <w:rPr>
          <w:rFonts w:ascii="宋体" w:hAnsi="宋体" w:eastAsia="宋体" w:cs="楷体"/>
          <w:sz w:val="18"/>
          <w:szCs w:val="18"/>
        </w:rPr>
        <w:t>；</w:t>
      </w:r>
    </w:p>
    <w:p>
      <w:pPr>
        <w:numPr>
          <w:ilvl w:val="0"/>
          <w:numId w:val="2"/>
        </w:numPr>
        <w:overflowPunct w:val="0"/>
        <w:adjustRightInd w:val="0"/>
        <w:spacing w:line="276" w:lineRule="auto"/>
        <w:ind w:firstLine="360" w:firstLineChars="200"/>
        <w:rPr>
          <w:rFonts w:ascii="宋体" w:hAnsi="宋体" w:eastAsia="宋体" w:cs="楷体"/>
          <w:sz w:val="18"/>
          <w:szCs w:val="18"/>
        </w:rPr>
      </w:pPr>
      <w:r>
        <w:rPr>
          <w:rFonts w:hint="eastAsia" w:ascii="宋体" w:hAnsi="宋体" w:eastAsia="宋体" w:cs="楷体"/>
          <w:sz w:val="18"/>
          <w:szCs w:val="18"/>
        </w:rPr>
        <w:t>电工基础3、项目任务（电路技术+微控制技术）和AHK自动化综合课程学分不作为毕业学分要求。</w:t>
      </w:r>
    </w:p>
    <w:p>
      <w:pPr>
        <w:keepNext/>
        <w:keepLines/>
        <w:spacing w:before="156" w:beforeLines="50" w:after="156" w:afterLines="50" w:line="300" w:lineRule="auto"/>
        <w:outlineLvl w:val="1"/>
        <w:rPr>
          <w:rFonts w:ascii="Arial" w:hAnsi="Arial" w:eastAsia="黑体" w:cs="Times New Roman"/>
          <w:b/>
          <w:color w:val="000000"/>
          <w:sz w:val="24"/>
          <w:szCs w:val="28"/>
        </w:rPr>
      </w:pPr>
      <w:bookmarkStart w:id="26" w:name="_Toc105704418"/>
      <w:r>
        <w:rPr>
          <w:rFonts w:hint="eastAsia" w:ascii="Arial" w:hAnsi="Arial" w:eastAsia="黑体" w:cs="Times New Roman"/>
          <w:b/>
          <w:color w:val="000000"/>
          <w:sz w:val="24"/>
          <w:szCs w:val="28"/>
        </w:rPr>
        <w:t>八、实施保障</w:t>
      </w:r>
      <w:bookmarkEnd w:id="26"/>
    </w:p>
    <w:p>
      <w:pPr>
        <w:overflowPunct w:val="0"/>
        <w:adjustRightInd w:val="0"/>
        <w:spacing w:line="360" w:lineRule="auto"/>
        <w:ind w:firstLine="422" w:firstLineChars="200"/>
        <w:rPr>
          <w:rFonts w:ascii="宋体" w:hAnsi="宋体" w:eastAsia="宋体" w:cs="Times New Roman"/>
          <w:b/>
          <w:szCs w:val="21"/>
        </w:rPr>
      </w:pPr>
      <w:bookmarkStart w:id="27" w:name="_Toc73567433"/>
      <w:r>
        <w:rPr>
          <w:rFonts w:ascii="宋体" w:hAnsi="宋体" w:eastAsia="宋体" w:cs="Times New Roman"/>
          <w:b/>
          <w:szCs w:val="21"/>
        </w:rPr>
        <w:t>（一）师资队伍</w:t>
      </w:r>
      <w:bookmarkEnd w:id="27"/>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对专兼职教师的数量、结构、素质等提出有关要求。</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队伍结构</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本专业专任教师14人，副高以上职称5人，讲师7人；高级工程师1人，工程师3人，技师5人，双师素质教师占专业教师比90%；博士生研究生2人，硕士学位研究生10人；中青年教师占比80%。</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专任教师</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具有高校教师资格12人；专任教师理想信念坚定、道德情操高尚、学识扎实，对学生有仁爱之心；全部教师具有机电一体化技术等相关专业本科及以上学历，具有扎实的工业机器人相关理论和实践能力；教师能熟练的运用信息化技术开展教学，能够开展课程教学改革和科学研究，科研达标率100%；每位教师6年内累计赴企业实践达6个月。</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专业带头人</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业带头人具有高级工程师、副教授专业技术职务，专业知识扎实、学术思想活跃、有较强的组织协调能力和一定的改革创新精神，三年内带领教学团队开展“教育部创新发展三年行动计划--机电一体化技术骨干专业建设”，“机电一体化技术教学资源库建设方案制定”，一项课程获市级精品课程，主持八余项企业技术服务项目；校外兼职专业带头人2名，一位属于汽车制造企业，具有丰富的设备维修经验，具有技师技能证书，专业知识扎实、学术思想活跃、有较强的组织协调能力和一定的改革创新精神，一位从事MPS电气动培训企业，在行业内具有知名度，有丰富的实践经验。</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兼职教师</w:t>
      </w:r>
    </w:p>
    <w:p>
      <w:pPr>
        <w:spacing w:line="300" w:lineRule="auto"/>
        <w:ind w:firstLine="420" w:firstLineChars="200"/>
        <w:rPr>
          <w:rFonts w:ascii="宋体" w:hAnsi="宋体" w:eastAsia="宋体" w:cs="Times New Roman"/>
          <w:b/>
          <w:szCs w:val="21"/>
        </w:rPr>
      </w:pPr>
      <w:r>
        <w:rPr>
          <w:rFonts w:hint="eastAsia" w:ascii="宋体" w:hAnsi="宋体" w:eastAsia="宋体" w:cs="宋体"/>
          <w:color w:val="000000"/>
          <w:szCs w:val="21"/>
          <w:lang w:bidi="zh-TW"/>
        </w:rPr>
        <w:t>企业兼职教师10名，主要来自于机电一体化类等国内外知名企业，具备良好的思想政治素质、职业道德和工匠精神，具有扎实的机电专业知识和丰富的现场工作经验，全部具有中级及以上相关专业职称或高级职业技能等级证书，承担专业课程教学、实习实训指导和学生职业发展规划指导等教学任务。</w:t>
      </w:r>
    </w:p>
    <w:p>
      <w:pPr>
        <w:spacing w:line="300" w:lineRule="auto"/>
        <w:ind w:firstLine="420" w:firstLineChars="200"/>
        <w:rPr>
          <w:rFonts w:ascii="宋体" w:hAnsi="宋体" w:eastAsia="宋体" w:cs="宋体"/>
          <w:color w:val="000000"/>
          <w:szCs w:val="21"/>
          <w:lang w:bidi="zh-TW"/>
        </w:rPr>
      </w:pPr>
      <w:bookmarkStart w:id="28" w:name="_Toc73567434"/>
      <w:r>
        <w:rPr>
          <w:rFonts w:ascii="宋体" w:hAnsi="宋体" w:eastAsia="宋体" w:cs="宋体"/>
          <w:color w:val="000000"/>
          <w:szCs w:val="21"/>
          <w:lang w:bidi="zh-TW"/>
        </w:rPr>
        <w:t>（二）教学设施</w:t>
      </w:r>
      <w:bookmarkEnd w:id="28"/>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对教室，校内、校外实习实训基地等提出有关要求。</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专业教室基本条件</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专业教室一般配备黑（白）板、多媒体计算机、投影设备、音响设备，互联网接入或 Wi-Fi环境，并实施网络安全防护措施；安装应急照明装置并保持良好状态，符合紧急疏散要求，标志明显，保持逃生通道畅通无阻。</w:t>
      </w:r>
    </w:p>
    <w:p>
      <w:pPr>
        <w:spacing w:line="300" w:lineRule="auto"/>
        <w:ind w:firstLine="420" w:firstLineChars="200"/>
        <w:rPr>
          <w:rFonts w:ascii="宋体" w:hAnsi="宋体" w:eastAsia="宋体" w:cs="宋体"/>
          <w:color w:val="000000"/>
          <w:szCs w:val="21"/>
          <w:lang w:bidi="zh-TW"/>
        </w:rPr>
      </w:pPr>
      <w:bookmarkStart w:id="29" w:name="bookmark80"/>
      <w:bookmarkEnd w:id="29"/>
      <w:r>
        <w:rPr>
          <w:rFonts w:hint="eastAsia" w:ascii="宋体" w:hAnsi="宋体" w:eastAsia="宋体" w:cs="宋体"/>
          <w:color w:val="000000"/>
          <w:szCs w:val="21"/>
          <w:lang w:bidi="zh-TW"/>
        </w:rPr>
        <w:t>校内实训室基本要求，工位数详见表6</w:t>
      </w:r>
    </w:p>
    <w:p>
      <w:pPr>
        <w:tabs>
          <w:tab w:val="center" w:pos="4774"/>
          <w:tab w:val="left" w:pos="6244"/>
        </w:tabs>
        <w:jc w:val="center"/>
        <w:rPr>
          <w:rFonts w:cs="楷体"/>
          <w:b/>
          <w:bCs/>
          <w:color w:val="000000"/>
          <w:lang w:bidi="en-US"/>
        </w:rPr>
      </w:pPr>
      <w:r>
        <w:rPr>
          <w:rFonts w:hint="eastAsia" w:cs="楷体"/>
          <w:b/>
          <w:bCs/>
          <w:color w:val="000000"/>
          <w:lang w:bidi="en-US"/>
        </w:rPr>
        <w:t>表6 校内主要实训室配置</w:t>
      </w:r>
    </w:p>
    <w:tbl>
      <w:tblPr>
        <w:tblStyle w:val="12"/>
        <w:tblW w:w="88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99"/>
        <w:gridCol w:w="3131"/>
        <w:gridCol w:w="725"/>
        <w:gridCol w:w="2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709" w:type="dxa"/>
            <w:vAlign w:val="center"/>
          </w:tcPr>
          <w:p>
            <w:pPr>
              <w:jc w:val="center"/>
              <w:rPr>
                <w:rFonts w:cs="Times New Roman"/>
                <w:b/>
                <w:bCs/>
                <w:sz w:val="18"/>
                <w:szCs w:val="18"/>
              </w:rPr>
            </w:pPr>
            <w:r>
              <w:rPr>
                <w:rFonts w:cs="Times New Roman"/>
                <w:b/>
                <w:bCs/>
                <w:sz w:val="18"/>
                <w:szCs w:val="18"/>
              </w:rPr>
              <w:t>序号</w:t>
            </w:r>
          </w:p>
        </w:tc>
        <w:tc>
          <w:tcPr>
            <w:tcW w:w="1899" w:type="dxa"/>
            <w:vAlign w:val="center"/>
          </w:tcPr>
          <w:p>
            <w:pPr>
              <w:jc w:val="center"/>
              <w:rPr>
                <w:rFonts w:cs="Times New Roman"/>
                <w:b/>
                <w:bCs/>
                <w:sz w:val="18"/>
                <w:szCs w:val="18"/>
              </w:rPr>
            </w:pPr>
            <w:r>
              <w:rPr>
                <w:rFonts w:cs="Times New Roman"/>
                <w:b/>
                <w:bCs/>
                <w:sz w:val="18"/>
                <w:szCs w:val="18"/>
              </w:rPr>
              <w:t>实训室名称</w:t>
            </w:r>
          </w:p>
        </w:tc>
        <w:tc>
          <w:tcPr>
            <w:tcW w:w="3131" w:type="dxa"/>
            <w:vAlign w:val="center"/>
          </w:tcPr>
          <w:p>
            <w:pPr>
              <w:jc w:val="center"/>
              <w:rPr>
                <w:rFonts w:cs="Times New Roman"/>
                <w:b/>
                <w:bCs/>
                <w:sz w:val="18"/>
                <w:szCs w:val="18"/>
              </w:rPr>
            </w:pPr>
            <w:r>
              <w:rPr>
                <w:rFonts w:cs="Times New Roman"/>
                <w:b/>
                <w:bCs/>
                <w:sz w:val="18"/>
                <w:szCs w:val="18"/>
              </w:rPr>
              <w:t>设 备 名 称</w:t>
            </w:r>
          </w:p>
        </w:tc>
        <w:tc>
          <w:tcPr>
            <w:tcW w:w="725" w:type="dxa"/>
            <w:vAlign w:val="center"/>
          </w:tcPr>
          <w:p>
            <w:pPr>
              <w:jc w:val="center"/>
              <w:rPr>
                <w:rFonts w:cs="Times New Roman"/>
                <w:b/>
                <w:bCs/>
                <w:sz w:val="18"/>
                <w:szCs w:val="18"/>
              </w:rPr>
            </w:pPr>
            <w:r>
              <w:rPr>
                <w:rFonts w:hint="eastAsia" w:cs="Times New Roman"/>
                <w:b/>
                <w:bCs/>
                <w:sz w:val="18"/>
                <w:szCs w:val="18"/>
              </w:rPr>
              <w:t>工位数</w:t>
            </w:r>
          </w:p>
        </w:tc>
        <w:tc>
          <w:tcPr>
            <w:tcW w:w="2361" w:type="dxa"/>
            <w:vAlign w:val="center"/>
          </w:tcPr>
          <w:p>
            <w:pPr>
              <w:jc w:val="center"/>
              <w:rPr>
                <w:rFonts w:cs="Times New Roman"/>
                <w:b/>
                <w:bCs/>
                <w:sz w:val="18"/>
                <w:szCs w:val="18"/>
              </w:rPr>
            </w:pPr>
            <w:r>
              <w:rPr>
                <w:rFonts w:cs="Times New Roman"/>
                <w:b/>
                <w:bCs/>
                <w:sz w:val="18"/>
                <w:szCs w:val="18"/>
              </w:rPr>
              <w:t>适用课程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9" w:type="dxa"/>
            <w:vAlign w:val="center"/>
          </w:tcPr>
          <w:p>
            <w:pPr>
              <w:jc w:val="center"/>
              <w:rPr>
                <w:rFonts w:cs="Times New Roman"/>
                <w:sz w:val="18"/>
                <w:szCs w:val="18"/>
              </w:rPr>
            </w:pPr>
            <w:r>
              <w:rPr>
                <w:rFonts w:cs="Times New Roman"/>
                <w:sz w:val="18"/>
                <w:szCs w:val="18"/>
              </w:rPr>
              <w:t>1</w:t>
            </w:r>
          </w:p>
        </w:tc>
        <w:tc>
          <w:tcPr>
            <w:tcW w:w="1899" w:type="dxa"/>
            <w:vAlign w:val="center"/>
          </w:tcPr>
          <w:p>
            <w:pPr>
              <w:jc w:val="center"/>
              <w:rPr>
                <w:rFonts w:cs="Times New Roman"/>
                <w:sz w:val="18"/>
                <w:szCs w:val="18"/>
              </w:rPr>
            </w:pPr>
            <w:r>
              <w:rPr>
                <w:rFonts w:hint="eastAsia" w:cs="Times New Roman"/>
                <w:sz w:val="18"/>
                <w:szCs w:val="18"/>
              </w:rPr>
              <w:t>钳工</w:t>
            </w:r>
            <w:r>
              <w:rPr>
                <w:rFonts w:cs="Times New Roman"/>
                <w:sz w:val="18"/>
                <w:szCs w:val="18"/>
              </w:rPr>
              <w:t>实训室</w:t>
            </w:r>
          </w:p>
        </w:tc>
        <w:tc>
          <w:tcPr>
            <w:tcW w:w="3131" w:type="dxa"/>
            <w:vAlign w:val="center"/>
          </w:tcPr>
          <w:p>
            <w:pPr>
              <w:jc w:val="left"/>
              <w:rPr>
                <w:rFonts w:cs="Times New Roman"/>
                <w:sz w:val="18"/>
                <w:szCs w:val="18"/>
              </w:rPr>
            </w:pPr>
            <w:r>
              <w:rPr>
                <w:rFonts w:cs="Times New Roman"/>
                <w:sz w:val="18"/>
                <w:szCs w:val="18"/>
              </w:rPr>
              <w:t>台钻</w:t>
            </w:r>
            <w:r>
              <w:rPr>
                <w:rFonts w:hint="eastAsia" w:cs="Times New Roman"/>
                <w:sz w:val="18"/>
                <w:szCs w:val="18"/>
              </w:rPr>
              <w:t>、</w:t>
            </w:r>
            <w:r>
              <w:rPr>
                <w:rFonts w:cs="Times New Roman"/>
                <w:sz w:val="18"/>
                <w:szCs w:val="18"/>
              </w:rPr>
              <w:t>钳</w:t>
            </w:r>
            <w:r>
              <w:rPr>
                <w:rFonts w:hint="eastAsia" w:cs="Times New Roman"/>
                <w:sz w:val="18"/>
                <w:szCs w:val="18"/>
              </w:rPr>
              <w:t>作台、砂轮机、划线平台、</w:t>
            </w:r>
            <w:r>
              <w:rPr>
                <w:rFonts w:cs="Times New Roman"/>
                <w:sz w:val="18"/>
                <w:szCs w:val="18"/>
              </w:rPr>
              <w:t>普通车床</w:t>
            </w:r>
            <w:r>
              <w:rPr>
                <w:rFonts w:hint="eastAsia" w:cs="Times New Roman"/>
                <w:sz w:val="18"/>
                <w:szCs w:val="18"/>
              </w:rPr>
              <w:t>、</w:t>
            </w:r>
            <w:r>
              <w:rPr>
                <w:rFonts w:cs="Times New Roman"/>
                <w:sz w:val="18"/>
                <w:szCs w:val="18"/>
              </w:rPr>
              <w:t>普通铣床</w:t>
            </w:r>
            <w:r>
              <w:rPr>
                <w:rFonts w:hint="eastAsia" w:cs="Times New Roman"/>
                <w:sz w:val="18"/>
                <w:szCs w:val="18"/>
              </w:rPr>
              <w:t>等</w:t>
            </w:r>
          </w:p>
        </w:tc>
        <w:tc>
          <w:tcPr>
            <w:tcW w:w="725" w:type="dxa"/>
            <w:vAlign w:val="center"/>
          </w:tcPr>
          <w:p>
            <w:pPr>
              <w:jc w:val="center"/>
              <w:rPr>
                <w:rFonts w:cs="Times New Roman"/>
                <w:sz w:val="18"/>
                <w:szCs w:val="18"/>
              </w:rPr>
            </w:pPr>
            <w:r>
              <w:rPr>
                <w:rFonts w:hint="eastAsia" w:cs="Times New Roman"/>
                <w:sz w:val="18"/>
                <w:szCs w:val="18"/>
              </w:rPr>
              <w:t>40</w:t>
            </w:r>
          </w:p>
        </w:tc>
        <w:tc>
          <w:tcPr>
            <w:tcW w:w="2361" w:type="dxa"/>
            <w:vAlign w:val="center"/>
          </w:tcPr>
          <w:p>
            <w:pPr>
              <w:jc w:val="center"/>
              <w:rPr>
                <w:rFonts w:cs="Times New Roman"/>
                <w:sz w:val="18"/>
                <w:szCs w:val="18"/>
              </w:rPr>
            </w:pPr>
            <w:r>
              <w:rPr>
                <w:rFonts w:hint="eastAsia" w:cs="Times New Roman"/>
                <w:sz w:val="18"/>
                <w:szCs w:val="18"/>
              </w:rPr>
              <w:t>金工</w:t>
            </w:r>
            <w:r>
              <w:rPr>
                <w:rFonts w:cs="Times New Roman"/>
                <w:sz w:val="18"/>
                <w:szCs w:val="18"/>
              </w:rPr>
              <w:t>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9" w:type="dxa"/>
            <w:vAlign w:val="center"/>
          </w:tcPr>
          <w:p>
            <w:pPr>
              <w:jc w:val="center"/>
              <w:rPr>
                <w:rFonts w:cs="Times New Roman"/>
                <w:sz w:val="18"/>
                <w:szCs w:val="18"/>
              </w:rPr>
            </w:pPr>
            <w:r>
              <w:rPr>
                <w:rFonts w:hint="eastAsia" w:cs="Times New Roman"/>
                <w:sz w:val="18"/>
                <w:szCs w:val="18"/>
              </w:rPr>
              <w:t>2</w:t>
            </w:r>
          </w:p>
        </w:tc>
        <w:tc>
          <w:tcPr>
            <w:tcW w:w="1899" w:type="dxa"/>
            <w:vAlign w:val="center"/>
          </w:tcPr>
          <w:p>
            <w:pPr>
              <w:jc w:val="center"/>
              <w:rPr>
                <w:rFonts w:cs="Times New Roman"/>
                <w:sz w:val="18"/>
                <w:szCs w:val="18"/>
              </w:rPr>
            </w:pPr>
            <w:r>
              <w:rPr>
                <w:rFonts w:hint="eastAsia" w:cs="Times New Roman"/>
                <w:kern w:val="0"/>
                <w:sz w:val="18"/>
                <w:szCs w:val="18"/>
              </w:rPr>
              <w:t>机械测绘实训室</w:t>
            </w:r>
          </w:p>
        </w:tc>
        <w:tc>
          <w:tcPr>
            <w:tcW w:w="3131" w:type="dxa"/>
            <w:vAlign w:val="center"/>
          </w:tcPr>
          <w:p>
            <w:pPr>
              <w:jc w:val="left"/>
              <w:rPr>
                <w:rFonts w:cs="Times New Roman"/>
                <w:sz w:val="18"/>
                <w:szCs w:val="18"/>
              </w:rPr>
            </w:pPr>
            <w:r>
              <w:rPr>
                <w:rFonts w:hint="eastAsia" w:cs="Times New Roman"/>
                <w:sz w:val="18"/>
                <w:szCs w:val="18"/>
              </w:rPr>
              <w:t>配备绘图工具、测绘模型及工具等、电脑、主流CAD软件</w:t>
            </w:r>
          </w:p>
        </w:tc>
        <w:tc>
          <w:tcPr>
            <w:tcW w:w="725" w:type="dxa"/>
            <w:vAlign w:val="center"/>
          </w:tcPr>
          <w:p>
            <w:pPr>
              <w:jc w:val="center"/>
              <w:rPr>
                <w:rFonts w:cs="Times New Roman"/>
                <w:sz w:val="18"/>
                <w:szCs w:val="18"/>
              </w:rPr>
            </w:pPr>
            <w:r>
              <w:rPr>
                <w:rFonts w:hint="eastAsia" w:cs="Times New Roman"/>
                <w:sz w:val="18"/>
                <w:szCs w:val="18"/>
              </w:rPr>
              <w:t>40</w:t>
            </w:r>
          </w:p>
        </w:tc>
        <w:tc>
          <w:tcPr>
            <w:tcW w:w="2361" w:type="dxa"/>
            <w:vAlign w:val="center"/>
          </w:tcPr>
          <w:p>
            <w:pPr>
              <w:jc w:val="center"/>
              <w:rPr>
                <w:rFonts w:cs="Times New Roman"/>
                <w:sz w:val="18"/>
                <w:szCs w:val="18"/>
              </w:rPr>
            </w:pPr>
            <w:r>
              <w:rPr>
                <w:rFonts w:hint="eastAsia" w:cs="Times New Roman"/>
                <w:kern w:val="0"/>
                <w:sz w:val="18"/>
                <w:szCs w:val="18"/>
              </w:rPr>
              <w:t>机械制图与测绘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9" w:type="dxa"/>
            <w:vAlign w:val="center"/>
          </w:tcPr>
          <w:p>
            <w:pPr>
              <w:jc w:val="center"/>
              <w:rPr>
                <w:rFonts w:cs="Times New Roman"/>
                <w:sz w:val="18"/>
                <w:szCs w:val="18"/>
              </w:rPr>
            </w:pPr>
            <w:r>
              <w:rPr>
                <w:rFonts w:hint="eastAsia" w:cs="Times New Roman"/>
                <w:sz w:val="18"/>
                <w:szCs w:val="18"/>
              </w:rPr>
              <w:t>3</w:t>
            </w:r>
          </w:p>
        </w:tc>
        <w:tc>
          <w:tcPr>
            <w:tcW w:w="1899" w:type="dxa"/>
            <w:vAlign w:val="center"/>
          </w:tcPr>
          <w:p>
            <w:pPr>
              <w:jc w:val="center"/>
              <w:rPr>
                <w:rFonts w:cs="Times New Roman"/>
                <w:kern w:val="0"/>
                <w:sz w:val="18"/>
                <w:szCs w:val="18"/>
              </w:rPr>
            </w:pPr>
            <w:r>
              <w:rPr>
                <w:rFonts w:hint="eastAsia" w:cs="Times New Roman"/>
                <w:kern w:val="0"/>
                <w:sz w:val="18"/>
                <w:szCs w:val="18"/>
              </w:rPr>
              <w:t>机械加工实训室</w:t>
            </w:r>
          </w:p>
        </w:tc>
        <w:tc>
          <w:tcPr>
            <w:tcW w:w="3131" w:type="dxa"/>
            <w:vAlign w:val="center"/>
          </w:tcPr>
          <w:p>
            <w:pPr>
              <w:jc w:val="left"/>
              <w:rPr>
                <w:rFonts w:cs="Times New Roman"/>
                <w:kern w:val="0"/>
                <w:sz w:val="18"/>
                <w:szCs w:val="18"/>
              </w:rPr>
            </w:pPr>
            <w:r>
              <w:rPr>
                <w:rFonts w:hint="eastAsia" w:cs="Times New Roman"/>
                <w:kern w:val="0"/>
                <w:sz w:val="18"/>
                <w:szCs w:val="18"/>
              </w:rPr>
              <w:t>配备卧式车床、立式升降铣床、卧式万能升降台铣床、万能外圆磨床、平面磨床、数控车床、数控铣床、分度头、平口钳、砂轮机、辅具、工具、量具等</w:t>
            </w:r>
          </w:p>
        </w:tc>
        <w:tc>
          <w:tcPr>
            <w:tcW w:w="725" w:type="dxa"/>
            <w:vAlign w:val="center"/>
          </w:tcPr>
          <w:p>
            <w:pPr>
              <w:jc w:val="center"/>
              <w:rPr>
                <w:rFonts w:cs="Times New Roman"/>
                <w:sz w:val="18"/>
                <w:szCs w:val="18"/>
              </w:rPr>
            </w:pPr>
            <w:r>
              <w:rPr>
                <w:rFonts w:hint="eastAsia" w:cs="Times New Roman"/>
                <w:sz w:val="18"/>
                <w:szCs w:val="18"/>
              </w:rPr>
              <w:t>40</w:t>
            </w:r>
          </w:p>
        </w:tc>
        <w:tc>
          <w:tcPr>
            <w:tcW w:w="2361" w:type="dxa"/>
            <w:vAlign w:val="center"/>
          </w:tcPr>
          <w:p>
            <w:pPr>
              <w:widowControl/>
              <w:jc w:val="center"/>
              <w:rPr>
                <w:rFonts w:cs="Times New Roman"/>
                <w:sz w:val="18"/>
                <w:szCs w:val="18"/>
              </w:rPr>
            </w:pPr>
            <w:r>
              <w:rPr>
                <w:rFonts w:hint="eastAsia" w:cs="Times New Roman"/>
                <w:sz w:val="18"/>
                <w:szCs w:val="18"/>
              </w:rPr>
              <w:t>金工</w:t>
            </w:r>
            <w:r>
              <w:rPr>
                <w:rFonts w:cs="Times New Roman"/>
                <w:sz w:val="18"/>
                <w:szCs w:val="18"/>
              </w:rPr>
              <w:t>实训</w:t>
            </w:r>
          </w:p>
          <w:p>
            <w:pPr>
              <w:widowControl/>
              <w:jc w:val="center"/>
              <w:rPr>
                <w:rFonts w:cs="Times New Roman"/>
                <w:sz w:val="18"/>
                <w:szCs w:val="18"/>
              </w:rPr>
            </w:pPr>
            <w:r>
              <w:rPr>
                <w:rFonts w:hint="eastAsia" w:cs="Times New Roman"/>
                <w:sz w:val="18"/>
                <w:szCs w:val="18"/>
              </w:rPr>
              <w:t>金工实训</w:t>
            </w:r>
          </w:p>
          <w:p>
            <w:pPr>
              <w:widowControl/>
              <w:jc w:val="center"/>
              <w:rPr>
                <w:rFonts w:cs="Times New Roman"/>
                <w:sz w:val="18"/>
                <w:szCs w:val="18"/>
              </w:rPr>
            </w:pPr>
            <w:r>
              <w:rPr>
                <w:rFonts w:hint="eastAsia" w:cs="Times New Roman"/>
                <w:sz w:val="18"/>
                <w:szCs w:val="18"/>
              </w:rPr>
              <w:t>数控原理与编程</w:t>
            </w:r>
          </w:p>
          <w:p>
            <w:pPr>
              <w:widowControl/>
              <w:jc w:val="center"/>
              <w:rPr>
                <w:rFonts w:cs="Times New Roman"/>
                <w:sz w:val="18"/>
                <w:szCs w:val="18"/>
              </w:rPr>
            </w:pPr>
            <w:r>
              <w:rPr>
                <w:rFonts w:hint="eastAsia" w:cs="Times New Roman"/>
                <w:sz w:val="18"/>
                <w:szCs w:val="18"/>
              </w:rPr>
              <w:t>控制技术（PLC及气、液压技术）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9" w:type="dxa"/>
            <w:vAlign w:val="center"/>
          </w:tcPr>
          <w:p>
            <w:pPr>
              <w:jc w:val="center"/>
              <w:rPr>
                <w:rFonts w:cs="Times New Roman"/>
                <w:sz w:val="18"/>
                <w:szCs w:val="18"/>
              </w:rPr>
            </w:pPr>
            <w:r>
              <w:rPr>
                <w:rFonts w:hint="eastAsia" w:cs="Times New Roman"/>
                <w:sz w:val="18"/>
                <w:szCs w:val="18"/>
              </w:rPr>
              <w:t>4</w:t>
            </w:r>
          </w:p>
        </w:tc>
        <w:tc>
          <w:tcPr>
            <w:tcW w:w="1899" w:type="dxa"/>
            <w:vAlign w:val="center"/>
          </w:tcPr>
          <w:p>
            <w:pPr>
              <w:jc w:val="center"/>
              <w:rPr>
                <w:rFonts w:cs="Times New Roman"/>
                <w:sz w:val="18"/>
                <w:szCs w:val="18"/>
              </w:rPr>
            </w:pPr>
            <w:r>
              <w:rPr>
                <w:rFonts w:hint="eastAsia" w:cs="Times New Roman"/>
                <w:sz w:val="18"/>
                <w:szCs w:val="18"/>
              </w:rPr>
              <w:t>电工电子技术实训室</w:t>
            </w:r>
          </w:p>
        </w:tc>
        <w:tc>
          <w:tcPr>
            <w:tcW w:w="3131" w:type="dxa"/>
            <w:vAlign w:val="center"/>
          </w:tcPr>
          <w:p>
            <w:pPr>
              <w:jc w:val="left"/>
              <w:rPr>
                <w:rFonts w:cs="Times New Roman"/>
                <w:sz w:val="18"/>
                <w:szCs w:val="18"/>
              </w:rPr>
            </w:pPr>
            <w:r>
              <w:rPr>
                <w:rFonts w:hint="eastAsia" w:cs="Times New Roman"/>
                <w:kern w:val="0"/>
                <w:sz w:val="18"/>
                <w:szCs w:val="18"/>
              </w:rPr>
              <w:t>电子技术实训装置</w:t>
            </w:r>
          </w:p>
        </w:tc>
        <w:tc>
          <w:tcPr>
            <w:tcW w:w="725" w:type="dxa"/>
            <w:vAlign w:val="center"/>
          </w:tcPr>
          <w:p>
            <w:pPr>
              <w:jc w:val="center"/>
              <w:rPr>
                <w:rFonts w:cs="Times New Roman"/>
                <w:sz w:val="18"/>
                <w:szCs w:val="18"/>
              </w:rPr>
            </w:pPr>
            <w:r>
              <w:rPr>
                <w:rFonts w:hint="eastAsia" w:cs="Times New Roman"/>
                <w:sz w:val="18"/>
                <w:szCs w:val="18"/>
              </w:rPr>
              <w:t>40</w:t>
            </w:r>
          </w:p>
        </w:tc>
        <w:tc>
          <w:tcPr>
            <w:tcW w:w="2361" w:type="dxa"/>
            <w:vAlign w:val="center"/>
          </w:tcPr>
          <w:p>
            <w:pPr>
              <w:widowControl/>
              <w:jc w:val="left"/>
              <w:rPr>
                <w:rFonts w:cs="Times New Roman"/>
                <w:sz w:val="18"/>
                <w:szCs w:val="18"/>
              </w:rPr>
            </w:pPr>
            <w:r>
              <w:rPr>
                <w:rFonts w:hint="eastAsia" w:cs="Times New Roman"/>
                <w:kern w:val="0"/>
                <w:sz w:val="18"/>
                <w:szCs w:val="18"/>
              </w:rPr>
              <w:t>电工基础、</w:t>
            </w:r>
            <w:r>
              <w:rPr>
                <w:rFonts w:hint="eastAsia" w:cs="Times New Roman"/>
                <w:sz w:val="18"/>
                <w:szCs w:val="18"/>
              </w:rPr>
              <w:t>电工电子基础实训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709" w:type="dxa"/>
            <w:vAlign w:val="center"/>
          </w:tcPr>
          <w:p>
            <w:pPr>
              <w:jc w:val="center"/>
              <w:rPr>
                <w:rFonts w:cs="Times New Roman"/>
                <w:sz w:val="18"/>
                <w:szCs w:val="18"/>
              </w:rPr>
            </w:pPr>
            <w:r>
              <w:rPr>
                <w:rFonts w:hint="eastAsia" w:cs="Times New Roman"/>
                <w:sz w:val="18"/>
                <w:szCs w:val="18"/>
              </w:rPr>
              <w:t>5</w:t>
            </w:r>
          </w:p>
        </w:tc>
        <w:tc>
          <w:tcPr>
            <w:tcW w:w="1899" w:type="dxa"/>
            <w:vAlign w:val="center"/>
          </w:tcPr>
          <w:p>
            <w:pPr>
              <w:jc w:val="center"/>
              <w:rPr>
                <w:rFonts w:cs="Times New Roman"/>
                <w:sz w:val="18"/>
                <w:szCs w:val="18"/>
              </w:rPr>
            </w:pPr>
            <w:r>
              <w:rPr>
                <w:rFonts w:hint="eastAsia" w:cs="Times New Roman"/>
                <w:sz w:val="18"/>
                <w:szCs w:val="18"/>
              </w:rPr>
              <w:t>电机拖动实训室</w:t>
            </w:r>
          </w:p>
        </w:tc>
        <w:tc>
          <w:tcPr>
            <w:tcW w:w="3131" w:type="dxa"/>
            <w:vAlign w:val="center"/>
          </w:tcPr>
          <w:p>
            <w:pPr>
              <w:jc w:val="left"/>
              <w:rPr>
                <w:rFonts w:cs="Times New Roman"/>
                <w:sz w:val="18"/>
                <w:szCs w:val="18"/>
              </w:rPr>
            </w:pPr>
            <w:r>
              <w:rPr>
                <w:rFonts w:hint="eastAsia" w:cs="Times New Roman"/>
                <w:kern w:val="0"/>
                <w:sz w:val="18"/>
                <w:szCs w:val="18"/>
              </w:rPr>
              <w:t>电气控制实训装置、机床电气实训装置</w:t>
            </w:r>
          </w:p>
        </w:tc>
        <w:tc>
          <w:tcPr>
            <w:tcW w:w="725" w:type="dxa"/>
            <w:vAlign w:val="center"/>
          </w:tcPr>
          <w:p>
            <w:pPr>
              <w:jc w:val="center"/>
              <w:rPr>
                <w:rFonts w:cs="Times New Roman"/>
                <w:sz w:val="18"/>
                <w:szCs w:val="18"/>
              </w:rPr>
            </w:pPr>
            <w:r>
              <w:rPr>
                <w:rFonts w:hint="eastAsia" w:cs="Times New Roman"/>
                <w:sz w:val="18"/>
                <w:szCs w:val="18"/>
              </w:rPr>
              <w:t>40</w:t>
            </w:r>
          </w:p>
        </w:tc>
        <w:tc>
          <w:tcPr>
            <w:tcW w:w="2361" w:type="dxa"/>
            <w:vAlign w:val="center"/>
          </w:tcPr>
          <w:p>
            <w:pPr>
              <w:widowControl/>
              <w:jc w:val="left"/>
              <w:rPr>
                <w:rFonts w:cs="Times New Roman"/>
                <w:sz w:val="18"/>
                <w:szCs w:val="18"/>
              </w:rPr>
            </w:pPr>
            <w:r>
              <w:rPr>
                <w:rFonts w:hint="eastAsia" w:cs="Times New Roman"/>
                <w:sz w:val="18"/>
                <w:szCs w:val="18"/>
              </w:rPr>
              <w:t>电机与驱动技术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9" w:type="dxa"/>
            <w:vAlign w:val="center"/>
          </w:tcPr>
          <w:p>
            <w:pPr>
              <w:jc w:val="center"/>
              <w:rPr>
                <w:rFonts w:cs="Times New Roman"/>
                <w:sz w:val="18"/>
                <w:szCs w:val="18"/>
              </w:rPr>
            </w:pPr>
            <w:r>
              <w:rPr>
                <w:rFonts w:hint="eastAsia" w:cs="Times New Roman"/>
                <w:sz w:val="18"/>
                <w:szCs w:val="18"/>
              </w:rPr>
              <w:t>6</w:t>
            </w:r>
          </w:p>
        </w:tc>
        <w:tc>
          <w:tcPr>
            <w:tcW w:w="1899" w:type="dxa"/>
            <w:vAlign w:val="center"/>
          </w:tcPr>
          <w:p>
            <w:pPr>
              <w:jc w:val="center"/>
              <w:rPr>
                <w:rFonts w:cs="Times New Roman"/>
                <w:sz w:val="18"/>
                <w:szCs w:val="18"/>
              </w:rPr>
            </w:pPr>
            <w:r>
              <w:rPr>
                <w:rFonts w:hint="eastAsia" w:cs="Times New Roman"/>
                <w:kern w:val="0"/>
                <w:sz w:val="18"/>
                <w:szCs w:val="18"/>
              </w:rPr>
              <w:t>机电控制实训室</w:t>
            </w:r>
          </w:p>
        </w:tc>
        <w:tc>
          <w:tcPr>
            <w:tcW w:w="3131" w:type="dxa"/>
            <w:vAlign w:val="center"/>
          </w:tcPr>
          <w:p>
            <w:pPr>
              <w:jc w:val="left"/>
              <w:rPr>
                <w:rFonts w:cs="Times New Roman"/>
                <w:kern w:val="0"/>
                <w:sz w:val="18"/>
                <w:szCs w:val="18"/>
              </w:rPr>
            </w:pPr>
            <w:r>
              <w:rPr>
                <w:rFonts w:hint="eastAsia" w:cs="Times New Roman"/>
                <w:kern w:val="0"/>
                <w:sz w:val="18"/>
                <w:szCs w:val="18"/>
              </w:rPr>
              <w:t>配备机电控制实训装置、通用PLC与人机界面实训装置、现场总线过程控制实验装置、工业以太网实验平台、计算机及相关编程软件等</w:t>
            </w:r>
          </w:p>
        </w:tc>
        <w:tc>
          <w:tcPr>
            <w:tcW w:w="725" w:type="dxa"/>
            <w:vAlign w:val="center"/>
          </w:tcPr>
          <w:p>
            <w:pPr>
              <w:jc w:val="center"/>
              <w:rPr>
                <w:rFonts w:cs="Times New Roman"/>
                <w:sz w:val="18"/>
                <w:szCs w:val="18"/>
              </w:rPr>
            </w:pPr>
            <w:r>
              <w:rPr>
                <w:rFonts w:hint="eastAsia" w:cs="Times New Roman"/>
                <w:sz w:val="18"/>
                <w:szCs w:val="18"/>
              </w:rPr>
              <w:t>40</w:t>
            </w:r>
          </w:p>
        </w:tc>
        <w:tc>
          <w:tcPr>
            <w:tcW w:w="2361" w:type="dxa"/>
            <w:vAlign w:val="center"/>
          </w:tcPr>
          <w:p>
            <w:pPr>
              <w:widowControl/>
              <w:jc w:val="left"/>
              <w:rPr>
                <w:rFonts w:cs="Times New Roman"/>
                <w:sz w:val="18"/>
                <w:szCs w:val="18"/>
              </w:rPr>
            </w:pPr>
            <w:r>
              <w:rPr>
                <w:rFonts w:hint="eastAsia" w:cs="Times New Roman"/>
                <w:sz w:val="18"/>
                <w:szCs w:val="18"/>
              </w:rPr>
              <w:t>自动化技术</w:t>
            </w:r>
            <w:r>
              <w:rPr>
                <w:rFonts w:hint="eastAsia" w:cs="Times New Roman"/>
                <w:sz w:val="18"/>
                <w:szCs w:val="18"/>
              </w:rPr>
              <w:tab/>
            </w:r>
          </w:p>
          <w:p>
            <w:pPr>
              <w:widowControl/>
              <w:jc w:val="left"/>
              <w:rPr>
                <w:rFonts w:cs="Times New Roman"/>
                <w:sz w:val="18"/>
                <w:szCs w:val="18"/>
              </w:rPr>
            </w:pPr>
            <w:r>
              <w:rPr>
                <w:rFonts w:hint="eastAsia" w:cs="Times New Roman"/>
                <w:sz w:val="18"/>
                <w:szCs w:val="18"/>
              </w:rPr>
              <w:t>机电一体化系统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1" w:hRule="atLeast"/>
          <w:jc w:val="center"/>
        </w:trPr>
        <w:tc>
          <w:tcPr>
            <w:tcW w:w="709" w:type="dxa"/>
            <w:vAlign w:val="center"/>
          </w:tcPr>
          <w:p>
            <w:pPr>
              <w:jc w:val="center"/>
              <w:rPr>
                <w:rFonts w:cs="Times New Roman"/>
                <w:sz w:val="18"/>
                <w:szCs w:val="18"/>
              </w:rPr>
            </w:pPr>
            <w:r>
              <w:rPr>
                <w:rFonts w:hint="eastAsia" w:cs="Times New Roman"/>
                <w:sz w:val="18"/>
                <w:szCs w:val="18"/>
              </w:rPr>
              <w:t>7</w:t>
            </w:r>
          </w:p>
        </w:tc>
        <w:tc>
          <w:tcPr>
            <w:tcW w:w="1899" w:type="dxa"/>
            <w:vAlign w:val="center"/>
          </w:tcPr>
          <w:p>
            <w:pPr>
              <w:jc w:val="center"/>
              <w:rPr>
                <w:rFonts w:cs="Times New Roman"/>
                <w:kern w:val="0"/>
                <w:sz w:val="18"/>
                <w:szCs w:val="18"/>
              </w:rPr>
            </w:pPr>
            <w:r>
              <w:rPr>
                <w:rFonts w:hint="eastAsia" w:cs="Times New Roman"/>
                <w:kern w:val="0"/>
                <w:sz w:val="18"/>
                <w:szCs w:val="18"/>
              </w:rPr>
              <w:t>液压与气动传动实训室</w:t>
            </w:r>
          </w:p>
        </w:tc>
        <w:tc>
          <w:tcPr>
            <w:tcW w:w="3131" w:type="dxa"/>
            <w:vAlign w:val="center"/>
          </w:tcPr>
          <w:p>
            <w:pPr>
              <w:widowControl/>
              <w:ind w:right="174" w:rightChars="83"/>
              <w:jc w:val="left"/>
              <w:rPr>
                <w:rFonts w:cs="Times New Roman"/>
                <w:sz w:val="18"/>
                <w:szCs w:val="18"/>
              </w:rPr>
            </w:pPr>
            <w:r>
              <w:rPr>
                <w:rFonts w:hint="eastAsia" w:cs="Times New Roman"/>
                <w:kern w:val="0"/>
                <w:sz w:val="18"/>
                <w:szCs w:val="18"/>
              </w:rPr>
              <w:t>气压传动实训装置</w:t>
            </w:r>
          </w:p>
        </w:tc>
        <w:tc>
          <w:tcPr>
            <w:tcW w:w="725" w:type="dxa"/>
            <w:vAlign w:val="center"/>
          </w:tcPr>
          <w:p>
            <w:pPr>
              <w:widowControl/>
              <w:ind w:right="174" w:rightChars="83"/>
              <w:jc w:val="center"/>
              <w:rPr>
                <w:rFonts w:cs="Times New Roman"/>
                <w:kern w:val="0"/>
                <w:sz w:val="18"/>
                <w:szCs w:val="18"/>
              </w:rPr>
            </w:pPr>
            <w:r>
              <w:rPr>
                <w:rFonts w:hint="eastAsia" w:cs="Times New Roman"/>
                <w:kern w:val="0"/>
                <w:sz w:val="18"/>
                <w:szCs w:val="18"/>
              </w:rPr>
              <w:t>40</w:t>
            </w:r>
          </w:p>
        </w:tc>
        <w:tc>
          <w:tcPr>
            <w:tcW w:w="2361" w:type="dxa"/>
            <w:vAlign w:val="center"/>
          </w:tcPr>
          <w:p>
            <w:pPr>
              <w:widowControl/>
              <w:ind w:right="174" w:rightChars="83"/>
              <w:jc w:val="left"/>
              <w:rPr>
                <w:rFonts w:cs="Times New Roman"/>
                <w:kern w:val="0"/>
                <w:sz w:val="18"/>
                <w:szCs w:val="18"/>
              </w:rPr>
            </w:pPr>
            <w:r>
              <w:rPr>
                <w:rFonts w:hint="eastAsia" w:cs="Times New Roman"/>
                <w:kern w:val="0"/>
                <w:sz w:val="18"/>
                <w:szCs w:val="18"/>
              </w:rPr>
              <w:t>控制技术（PLC及气、液压技术）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09" w:type="dxa"/>
            <w:vAlign w:val="center"/>
          </w:tcPr>
          <w:p>
            <w:pPr>
              <w:jc w:val="center"/>
              <w:rPr>
                <w:rFonts w:cs="Times New Roman"/>
                <w:sz w:val="18"/>
                <w:szCs w:val="18"/>
              </w:rPr>
            </w:pPr>
            <w:r>
              <w:rPr>
                <w:rFonts w:hint="eastAsia" w:cs="Times New Roman"/>
                <w:sz w:val="18"/>
                <w:szCs w:val="18"/>
              </w:rPr>
              <w:t>8</w:t>
            </w:r>
          </w:p>
        </w:tc>
        <w:tc>
          <w:tcPr>
            <w:tcW w:w="1899" w:type="dxa"/>
            <w:vAlign w:val="center"/>
          </w:tcPr>
          <w:p>
            <w:pPr>
              <w:jc w:val="center"/>
              <w:rPr>
                <w:rFonts w:cs="Times New Roman"/>
                <w:kern w:val="0"/>
                <w:sz w:val="18"/>
                <w:szCs w:val="18"/>
              </w:rPr>
            </w:pPr>
            <w:r>
              <w:rPr>
                <w:rFonts w:hint="eastAsia" w:cs="Times New Roman"/>
                <w:kern w:val="0"/>
                <w:sz w:val="18"/>
                <w:szCs w:val="18"/>
              </w:rPr>
              <w:t>运动控制系统安装与调试实训室</w:t>
            </w:r>
          </w:p>
        </w:tc>
        <w:tc>
          <w:tcPr>
            <w:tcW w:w="3131" w:type="dxa"/>
            <w:vAlign w:val="center"/>
          </w:tcPr>
          <w:p>
            <w:pPr>
              <w:widowControl/>
              <w:ind w:right="174" w:rightChars="83"/>
              <w:jc w:val="left"/>
              <w:rPr>
                <w:rFonts w:cs="Times New Roman"/>
                <w:kern w:val="0"/>
                <w:sz w:val="18"/>
                <w:szCs w:val="18"/>
              </w:rPr>
            </w:pPr>
            <w:r>
              <w:rPr>
                <w:rFonts w:hint="eastAsia" w:cs="Times New Roman"/>
                <w:kern w:val="0"/>
                <w:sz w:val="18"/>
                <w:szCs w:val="18"/>
              </w:rPr>
              <w:t>配备变频调速技术</w:t>
            </w:r>
            <w:r>
              <w:rPr>
                <w:rFonts w:cs="Times New Roman"/>
                <w:kern w:val="0"/>
                <w:sz w:val="18"/>
                <w:szCs w:val="18"/>
              </w:rPr>
              <w:t>、</w:t>
            </w:r>
            <w:r>
              <w:rPr>
                <w:rFonts w:hint="eastAsia" w:cs="Times New Roman"/>
                <w:kern w:val="0"/>
                <w:sz w:val="18"/>
                <w:szCs w:val="18"/>
              </w:rPr>
              <w:t>直流调速技术</w:t>
            </w:r>
            <w:r>
              <w:rPr>
                <w:rFonts w:cs="Times New Roman"/>
                <w:kern w:val="0"/>
                <w:sz w:val="18"/>
                <w:szCs w:val="18"/>
              </w:rPr>
              <w:t>、</w:t>
            </w:r>
            <w:r>
              <w:rPr>
                <w:rFonts w:hint="eastAsia" w:cs="Times New Roman"/>
                <w:kern w:val="0"/>
                <w:sz w:val="18"/>
                <w:szCs w:val="18"/>
              </w:rPr>
              <w:t>步进电动机驱动</w:t>
            </w:r>
            <w:r>
              <w:rPr>
                <w:rFonts w:cs="Times New Roman"/>
                <w:kern w:val="0"/>
                <w:sz w:val="18"/>
                <w:szCs w:val="18"/>
              </w:rPr>
              <w:t>、</w:t>
            </w:r>
            <w:r>
              <w:rPr>
                <w:rFonts w:hint="eastAsia" w:cs="Times New Roman"/>
                <w:kern w:val="0"/>
                <w:sz w:val="18"/>
                <w:szCs w:val="18"/>
              </w:rPr>
              <w:t>交流伺服电动机驱动实训装置</w:t>
            </w:r>
            <w:r>
              <w:rPr>
                <w:rFonts w:cs="Times New Roman"/>
                <w:kern w:val="0"/>
                <w:sz w:val="18"/>
                <w:szCs w:val="18"/>
              </w:rPr>
              <w:t>、</w:t>
            </w:r>
            <w:r>
              <w:rPr>
                <w:rFonts w:hint="eastAsia" w:cs="Times New Roman"/>
                <w:kern w:val="0"/>
                <w:sz w:val="18"/>
                <w:szCs w:val="18"/>
              </w:rPr>
              <w:t>电动机</w:t>
            </w:r>
            <w:r>
              <w:rPr>
                <w:rFonts w:cs="Times New Roman"/>
                <w:kern w:val="0"/>
                <w:sz w:val="18"/>
                <w:szCs w:val="18"/>
              </w:rPr>
              <w:t>、</w:t>
            </w:r>
            <w:r>
              <w:rPr>
                <w:rFonts w:hint="eastAsia" w:cs="Times New Roman"/>
                <w:kern w:val="0"/>
                <w:sz w:val="18"/>
                <w:szCs w:val="18"/>
              </w:rPr>
              <w:t>电工工具及常用拆装工具</w:t>
            </w:r>
            <w:r>
              <w:rPr>
                <w:rFonts w:cs="Times New Roman"/>
                <w:kern w:val="0"/>
                <w:sz w:val="18"/>
                <w:szCs w:val="18"/>
              </w:rPr>
              <w:t>、</w:t>
            </w:r>
            <w:r>
              <w:rPr>
                <w:rFonts w:hint="eastAsia" w:cs="Times New Roman"/>
                <w:kern w:val="0"/>
                <w:sz w:val="18"/>
                <w:szCs w:val="18"/>
              </w:rPr>
              <w:t>计算机及相关软件等</w:t>
            </w:r>
          </w:p>
        </w:tc>
        <w:tc>
          <w:tcPr>
            <w:tcW w:w="725" w:type="dxa"/>
            <w:vAlign w:val="center"/>
          </w:tcPr>
          <w:p>
            <w:pPr>
              <w:widowControl/>
              <w:ind w:right="174" w:rightChars="83"/>
              <w:jc w:val="center"/>
              <w:rPr>
                <w:rFonts w:cs="Times New Roman"/>
                <w:kern w:val="0"/>
                <w:sz w:val="18"/>
                <w:szCs w:val="18"/>
              </w:rPr>
            </w:pPr>
            <w:r>
              <w:rPr>
                <w:rFonts w:hint="eastAsia" w:cs="Times New Roman"/>
                <w:kern w:val="0"/>
                <w:sz w:val="18"/>
                <w:szCs w:val="18"/>
              </w:rPr>
              <w:t>40</w:t>
            </w:r>
          </w:p>
        </w:tc>
        <w:tc>
          <w:tcPr>
            <w:tcW w:w="2361" w:type="dxa"/>
            <w:vAlign w:val="center"/>
          </w:tcPr>
          <w:p>
            <w:pPr>
              <w:widowControl/>
              <w:ind w:right="174" w:rightChars="83"/>
              <w:jc w:val="left"/>
              <w:rPr>
                <w:rFonts w:cs="Times New Roman"/>
                <w:kern w:val="0"/>
                <w:sz w:val="18"/>
                <w:szCs w:val="18"/>
              </w:rPr>
            </w:pPr>
            <w:r>
              <w:rPr>
                <w:rFonts w:hint="eastAsia" w:cs="Times New Roman"/>
                <w:kern w:val="0"/>
                <w:sz w:val="18"/>
                <w:szCs w:val="18"/>
              </w:rPr>
              <w:t>电机与驱动技术</w:t>
            </w:r>
          </w:p>
          <w:p>
            <w:pPr>
              <w:widowControl/>
              <w:ind w:right="174" w:rightChars="83"/>
              <w:jc w:val="left"/>
              <w:rPr>
                <w:rFonts w:cs="Times New Roman"/>
                <w:kern w:val="0"/>
                <w:sz w:val="18"/>
                <w:szCs w:val="18"/>
              </w:rPr>
            </w:pPr>
            <w:r>
              <w:rPr>
                <w:rFonts w:hint="eastAsia" w:cs="Times New Roman"/>
                <w:kern w:val="0"/>
                <w:sz w:val="18"/>
                <w:szCs w:val="18"/>
              </w:rPr>
              <w:t>机电一体化系统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09" w:type="dxa"/>
            <w:vAlign w:val="center"/>
          </w:tcPr>
          <w:p>
            <w:pPr>
              <w:jc w:val="center"/>
              <w:rPr>
                <w:rFonts w:cs="Times New Roman"/>
                <w:sz w:val="18"/>
                <w:szCs w:val="18"/>
              </w:rPr>
            </w:pPr>
            <w:r>
              <w:rPr>
                <w:rFonts w:hint="eastAsia" w:cs="Times New Roman"/>
                <w:sz w:val="18"/>
                <w:szCs w:val="18"/>
              </w:rPr>
              <w:t>9</w:t>
            </w:r>
          </w:p>
        </w:tc>
        <w:tc>
          <w:tcPr>
            <w:tcW w:w="1899" w:type="dxa"/>
            <w:vAlign w:val="center"/>
          </w:tcPr>
          <w:p>
            <w:pPr>
              <w:jc w:val="center"/>
              <w:rPr>
                <w:rFonts w:cs="Times New Roman"/>
                <w:kern w:val="0"/>
                <w:sz w:val="18"/>
                <w:szCs w:val="18"/>
              </w:rPr>
            </w:pPr>
            <w:r>
              <w:rPr>
                <w:rFonts w:hint="eastAsia" w:cs="Times New Roman"/>
                <w:kern w:val="0"/>
                <w:sz w:val="18"/>
                <w:szCs w:val="18"/>
              </w:rPr>
              <w:t>工业机器人实训室</w:t>
            </w:r>
          </w:p>
        </w:tc>
        <w:tc>
          <w:tcPr>
            <w:tcW w:w="3131" w:type="dxa"/>
            <w:vAlign w:val="center"/>
          </w:tcPr>
          <w:p>
            <w:pPr>
              <w:widowControl/>
              <w:ind w:right="174" w:rightChars="83"/>
              <w:jc w:val="left"/>
              <w:rPr>
                <w:rFonts w:cs="Times New Roman"/>
                <w:kern w:val="0"/>
                <w:sz w:val="18"/>
                <w:szCs w:val="18"/>
              </w:rPr>
            </w:pPr>
            <w:r>
              <w:rPr>
                <w:rFonts w:hint="eastAsia" w:cs="Times New Roman"/>
                <w:kern w:val="0"/>
                <w:sz w:val="18"/>
                <w:szCs w:val="18"/>
              </w:rPr>
              <w:t>配备工业机器人</w:t>
            </w:r>
            <w:r>
              <w:rPr>
                <w:rFonts w:cs="Times New Roman"/>
                <w:kern w:val="0"/>
                <w:sz w:val="18"/>
                <w:szCs w:val="18"/>
              </w:rPr>
              <w:t>3</w:t>
            </w:r>
            <w:r>
              <w:rPr>
                <w:rFonts w:hint="eastAsia" w:cs="Times New Roman"/>
                <w:kern w:val="0"/>
                <w:sz w:val="18"/>
                <w:szCs w:val="18"/>
              </w:rPr>
              <w:t>台</w:t>
            </w:r>
            <w:r>
              <w:rPr>
                <w:rFonts w:cs="Times New Roman"/>
                <w:kern w:val="0"/>
                <w:sz w:val="18"/>
                <w:szCs w:val="18"/>
              </w:rPr>
              <w:t>（</w:t>
            </w:r>
            <w:r>
              <w:rPr>
                <w:rFonts w:hint="eastAsia" w:cs="Times New Roman"/>
                <w:kern w:val="0"/>
                <w:sz w:val="18"/>
                <w:szCs w:val="18"/>
              </w:rPr>
              <w:t>套</w:t>
            </w:r>
            <w:r>
              <w:rPr>
                <w:rFonts w:cs="Times New Roman"/>
                <w:kern w:val="0"/>
                <w:sz w:val="18"/>
                <w:szCs w:val="18"/>
              </w:rPr>
              <w:t>）</w:t>
            </w:r>
            <w:r>
              <w:rPr>
                <w:rFonts w:hint="eastAsia" w:cs="Times New Roman"/>
                <w:kern w:val="0"/>
                <w:sz w:val="18"/>
                <w:szCs w:val="18"/>
              </w:rPr>
              <w:t>以上</w:t>
            </w:r>
            <w:r>
              <w:rPr>
                <w:rFonts w:cs="Times New Roman"/>
                <w:kern w:val="0"/>
                <w:sz w:val="18"/>
                <w:szCs w:val="18"/>
              </w:rPr>
              <w:t>，</w:t>
            </w:r>
            <w:r>
              <w:rPr>
                <w:rFonts w:hint="eastAsia" w:cs="Times New Roman"/>
                <w:kern w:val="0"/>
                <w:sz w:val="18"/>
                <w:szCs w:val="18"/>
              </w:rPr>
              <w:t>配备机器人变成仿真软件</w:t>
            </w:r>
            <w:r>
              <w:rPr>
                <w:rFonts w:cs="Times New Roman"/>
                <w:kern w:val="0"/>
                <w:sz w:val="18"/>
                <w:szCs w:val="18"/>
              </w:rPr>
              <w:t>、</w:t>
            </w:r>
            <w:r>
              <w:rPr>
                <w:rFonts w:hint="eastAsia" w:cs="Times New Roman"/>
                <w:kern w:val="0"/>
                <w:sz w:val="18"/>
                <w:szCs w:val="18"/>
              </w:rPr>
              <w:t>计算机等</w:t>
            </w:r>
          </w:p>
        </w:tc>
        <w:tc>
          <w:tcPr>
            <w:tcW w:w="725" w:type="dxa"/>
            <w:vAlign w:val="center"/>
          </w:tcPr>
          <w:p>
            <w:pPr>
              <w:widowControl/>
              <w:ind w:right="174" w:rightChars="83"/>
              <w:jc w:val="center"/>
              <w:rPr>
                <w:rFonts w:cs="Times New Roman"/>
                <w:kern w:val="0"/>
                <w:sz w:val="18"/>
                <w:szCs w:val="18"/>
              </w:rPr>
            </w:pPr>
            <w:r>
              <w:rPr>
                <w:rFonts w:hint="eastAsia" w:cs="Times New Roman"/>
                <w:kern w:val="0"/>
                <w:sz w:val="18"/>
                <w:szCs w:val="18"/>
              </w:rPr>
              <w:t>40</w:t>
            </w:r>
          </w:p>
        </w:tc>
        <w:tc>
          <w:tcPr>
            <w:tcW w:w="2361" w:type="dxa"/>
            <w:vAlign w:val="center"/>
          </w:tcPr>
          <w:p>
            <w:pPr>
              <w:widowControl/>
              <w:ind w:right="174" w:rightChars="83"/>
              <w:jc w:val="left"/>
              <w:rPr>
                <w:rFonts w:cs="Times New Roman"/>
                <w:kern w:val="0"/>
                <w:sz w:val="18"/>
                <w:szCs w:val="18"/>
              </w:rPr>
            </w:pPr>
            <w:r>
              <w:rPr>
                <w:rFonts w:hint="eastAsia" w:cs="Times New Roman"/>
                <w:kern w:val="0"/>
                <w:sz w:val="18"/>
                <w:szCs w:val="18"/>
              </w:rPr>
              <w:t>机电一体化系统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9" w:type="dxa"/>
            <w:vAlign w:val="center"/>
          </w:tcPr>
          <w:p>
            <w:pPr>
              <w:jc w:val="center"/>
              <w:rPr>
                <w:rFonts w:cs="Times New Roman"/>
                <w:sz w:val="18"/>
                <w:szCs w:val="18"/>
              </w:rPr>
            </w:pPr>
            <w:r>
              <w:rPr>
                <w:rFonts w:hint="eastAsia" w:cs="Times New Roman"/>
                <w:sz w:val="18"/>
                <w:szCs w:val="18"/>
              </w:rPr>
              <w:t>10</w:t>
            </w:r>
          </w:p>
        </w:tc>
        <w:tc>
          <w:tcPr>
            <w:tcW w:w="1899" w:type="dxa"/>
            <w:vAlign w:val="center"/>
          </w:tcPr>
          <w:p>
            <w:pPr>
              <w:jc w:val="center"/>
              <w:rPr>
                <w:rFonts w:cs="Times New Roman"/>
                <w:kern w:val="0"/>
                <w:sz w:val="18"/>
                <w:szCs w:val="18"/>
              </w:rPr>
            </w:pPr>
            <w:r>
              <w:rPr>
                <w:rFonts w:cs="Times New Roman"/>
                <w:kern w:val="0"/>
                <w:sz w:val="18"/>
                <w:szCs w:val="18"/>
              </w:rPr>
              <w:t>机电装调控制技术实训室</w:t>
            </w:r>
          </w:p>
        </w:tc>
        <w:tc>
          <w:tcPr>
            <w:tcW w:w="3131" w:type="dxa"/>
            <w:vAlign w:val="center"/>
          </w:tcPr>
          <w:p>
            <w:pPr>
              <w:widowControl/>
              <w:ind w:right="174" w:rightChars="83"/>
              <w:jc w:val="left"/>
              <w:rPr>
                <w:rFonts w:cs="Times New Roman"/>
                <w:kern w:val="0"/>
                <w:sz w:val="18"/>
                <w:szCs w:val="18"/>
              </w:rPr>
            </w:pPr>
            <w:r>
              <w:rPr>
                <w:rFonts w:hint="eastAsia" w:cs="Times New Roman"/>
                <w:kern w:val="0"/>
                <w:sz w:val="18"/>
                <w:szCs w:val="18"/>
              </w:rPr>
              <w:t>配备智能设备运行与维护实训设备8套以上。</w:t>
            </w:r>
          </w:p>
        </w:tc>
        <w:tc>
          <w:tcPr>
            <w:tcW w:w="725" w:type="dxa"/>
            <w:vAlign w:val="center"/>
          </w:tcPr>
          <w:p>
            <w:pPr>
              <w:widowControl/>
              <w:ind w:right="174" w:rightChars="83"/>
              <w:jc w:val="center"/>
              <w:rPr>
                <w:rFonts w:cs="Times New Roman"/>
                <w:kern w:val="0"/>
                <w:sz w:val="18"/>
                <w:szCs w:val="18"/>
              </w:rPr>
            </w:pPr>
            <w:r>
              <w:rPr>
                <w:rFonts w:hint="eastAsia" w:cs="Times New Roman"/>
                <w:kern w:val="0"/>
                <w:sz w:val="18"/>
                <w:szCs w:val="18"/>
              </w:rPr>
              <w:t>40</w:t>
            </w:r>
          </w:p>
        </w:tc>
        <w:tc>
          <w:tcPr>
            <w:tcW w:w="2361" w:type="dxa"/>
            <w:vAlign w:val="center"/>
          </w:tcPr>
          <w:p>
            <w:pPr>
              <w:widowControl/>
              <w:ind w:right="174" w:rightChars="83"/>
              <w:jc w:val="left"/>
              <w:rPr>
                <w:rFonts w:cs="Times New Roman"/>
                <w:kern w:val="0"/>
                <w:sz w:val="18"/>
                <w:szCs w:val="18"/>
              </w:rPr>
            </w:pPr>
            <w:r>
              <w:rPr>
                <w:rFonts w:hint="eastAsia" w:cs="Times New Roman"/>
                <w:kern w:val="0"/>
                <w:sz w:val="18"/>
                <w:szCs w:val="18"/>
              </w:rPr>
              <w:t>控制技术（PLC及气、液压技术）</w:t>
            </w:r>
          </w:p>
          <w:p>
            <w:pPr>
              <w:widowControl/>
              <w:ind w:right="174" w:rightChars="83"/>
              <w:jc w:val="left"/>
              <w:rPr>
                <w:rFonts w:cs="Times New Roman"/>
                <w:kern w:val="0"/>
                <w:sz w:val="18"/>
                <w:szCs w:val="18"/>
              </w:rPr>
            </w:pPr>
            <w:r>
              <w:rPr>
                <w:rFonts w:hint="eastAsia" w:cs="Times New Roman"/>
                <w:kern w:val="0"/>
                <w:sz w:val="18"/>
                <w:szCs w:val="18"/>
              </w:rPr>
              <w:t>自动化技术</w:t>
            </w:r>
          </w:p>
          <w:p>
            <w:pPr>
              <w:widowControl/>
              <w:ind w:right="174" w:rightChars="83"/>
              <w:jc w:val="left"/>
              <w:rPr>
                <w:rFonts w:cs="Times New Roman"/>
                <w:kern w:val="0"/>
                <w:sz w:val="18"/>
                <w:szCs w:val="18"/>
              </w:rPr>
            </w:pPr>
            <w:r>
              <w:rPr>
                <w:rFonts w:hint="eastAsia" w:cs="Times New Roman"/>
                <w:kern w:val="0"/>
                <w:sz w:val="18"/>
                <w:szCs w:val="18"/>
              </w:rPr>
              <w:t>机电一体化系统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9" w:type="dxa"/>
            <w:vAlign w:val="center"/>
          </w:tcPr>
          <w:p>
            <w:pPr>
              <w:jc w:val="center"/>
              <w:rPr>
                <w:rFonts w:cs="Times New Roman"/>
                <w:sz w:val="18"/>
                <w:szCs w:val="18"/>
              </w:rPr>
            </w:pPr>
            <w:r>
              <w:rPr>
                <w:rFonts w:hint="eastAsia" w:cs="Times New Roman"/>
                <w:sz w:val="18"/>
                <w:szCs w:val="18"/>
              </w:rPr>
              <w:t>11</w:t>
            </w:r>
          </w:p>
        </w:tc>
        <w:tc>
          <w:tcPr>
            <w:tcW w:w="1899" w:type="dxa"/>
            <w:vAlign w:val="center"/>
          </w:tcPr>
          <w:p>
            <w:pPr>
              <w:jc w:val="center"/>
              <w:rPr>
                <w:rFonts w:cs="Times New Roman"/>
                <w:kern w:val="0"/>
                <w:sz w:val="18"/>
                <w:szCs w:val="18"/>
              </w:rPr>
            </w:pPr>
            <w:r>
              <w:rPr>
                <w:rFonts w:hint="eastAsia" w:cs="Times New Roman"/>
                <w:kern w:val="0"/>
                <w:sz w:val="18"/>
                <w:szCs w:val="18"/>
              </w:rPr>
              <w:t>机电设备电气控制与维修实训室</w:t>
            </w:r>
          </w:p>
        </w:tc>
        <w:tc>
          <w:tcPr>
            <w:tcW w:w="3131" w:type="dxa"/>
            <w:vAlign w:val="center"/>
          </w:tcPr>
          <w:p>
            <w:pPr>
              <w:widowControl/>
              <w:ind w:right="174" w:rightChars="83"/>
              <w:jc w:val="left"/>
              <w:rPr>
                <w:rFonts w:cs="Times New Roman"/>
                <w:kern w:val="0"/>
                <w:sz w:val="18"/>
                <w:szCs w:val="18"/>
              </w:rPr>
            </w:pPr>
            <w:r>
              <w:rPr>
                <w:rFonts w:hint="eastAsia" w:cs="Times New Roman"/>
                <w:kern w:val="0"/>
                <w:sz w:val="18"/>
                <w:szCs w:val="18"/>
              </w:rPr>
              <w:t>配备典型机电设备</w:t>
            </w:r>
            <w:r>
              <w:rPr>
                <w:rFonts w:cs="Times New Roman"/>
                <w:kern w:val="0"/>
                <w:sz w:val="18"/>
                <w:szCs w:val="18"/>
              </w:rPr>
              <w:t>、</w:t>
            </w:r>
            <w:r>
              <w:rPr>
                <w:rFonts w:hint="eastAsia" w:cs="Times New Roman"/>
                <w:kern w:val="0"/>
                <w:sz w:val="18"/>
                <w:szCs w:val="18"/>
              </w:rPr>
              <w:t>通用拆装工具</w:t>
            </w:r>
            <w:r>
              <w:rPr>
                <w:rFonts w:cs="Times New Roman"/>
                <w:kern w:val="0"/>
                <w:sz w:val="18"/>
                <w:szCs w:val="18"/>
              </w:rPr>
              <w:t>、</w:t>
            </w:r>
            <w:r>
              <w:rPr>
                <w:rFonts w:hint="eastAsia" w:cs="Times New Roman"/>
                <w:kern w:val="0"/>
                <w:sz w:val="18"/>
                <w:szCs w:val="18"/>
              </w:rPr>
              <w:t>测量工具与仪表等</w:t>
            </w:r>
          </w:p>
        </w:tc>
        <w:tc>
          <w:tcPr>
            <w:tcW w:w="725" w:type="dxa"/>
            <w:vAlign w:val="center"/>
          </w:tcPr>
          <w:p>
            <w:pPr>
              <w:widowControl/>
              <w:ind w:right="174" w:rightChars="83"/>
              <w:jc w:val="center"/>
              <w:rPr>
                <w:rFonts w:cs="Times New Roman"/>
                <w:kern w:val="0"/>
                <w:sz w:val="18"/>
                <w:szCs w:val="18"/>
              </w:rPr>
            </w:pPr>
            <w:r>
              <w:rPr>
                <w:rFonts w:hint="eastAsia" w:cs="Times New Roman"/>
                <w:kern w:val="0"/>
                <w:sz w:val="18"/>
                <w:szCs w:val="18"/>
              </w:rPr>
              <w:t>40</w:t>
            </w:r>
          </w:p>
        </w:tc>
        <w:tc>
          <w:tcPr>
            <w:tcW w:w="2361" w:type="dxa"/>
            <w:vAlign w:val="center"/>
          </w:tcPr>
          <w:p>
            <w:pPr>
              <w:widowControl/>
              <w:ind w:right="174" w:rightChars="83"/>
              <w:jc w:val="left"/>
              <w:rPr>
                <w:rFonts w:cs="Times New Roman"/>
                <w:kern w:val="0"/>
                <w:sz w:val="18"/>
                <w:szCs w:val="18"/>
              </w:rPr>
            </w:pPr>
            <w:r>
              <w:rPr>
                <w:rFonts w:hint="eastAsia" w:cs="Times New Roman"/>
                <w:kern w:val="0"/>
                <w:sz w:val="18"/>
                <w:szCs w:val="18"/>
              </w:rPr>
              <w:t>自动化技术</w:t>
            </w:r>
          </w:p>
          <w:p>
            <w:pPr>
              <w:widowControl/>
              <w:ind w:right="174" w:rightChars="83"/>
              <w:jc w:val="left"/>
              <w:rPr>
                <w:rFonts w:cs="Times New Roman"/>
                <w:kern w:val="0"/>
                <w:sz w:val="18"/>
                <w:szCs w:val="18"/>
              </w:rPr>
            </w:pPr>
            <w:r>
              <w:rPr>
                <w:rFonts w:hint="eastAsia" w:cs="Times New Roman"/>
                <w:kern w:val="0"/>
                <w:sz w:val="18"/>
                <w:szCs w:val="18"/>
              </w:rPr>
              <w:t>机电一体化系统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09" w:type="dxa"/>
            <w:vAlign w:val="center"/>
          </w:tcPr>
          <w:p>
            <w:pPr>
              <w:jc w:val="center"/>
              <w:rPr>
                <w:rFonts w:cs="Times New Roman"/>
                <w:sz w:val="18"/>
                <w:szCs w:val="18"/>
              </w:rPr>
            </w:pPr>
            <w:r>
              <w:rPr>
                <w:rFonts w:hint="eastAsia" w:cs="Times New Roman"/>
                <w:sz w:val="18"/>
                <w:szCs w:val="18"/>
              </w:rPr>
              <w:t>12</w:t>
            </w:r>
          </w:p>
        </w:tc>
        <w:tc>
          <w:tcPr>
            <w:tcW w:w="1899" w:type="dxa"/>
            <w:vAlign w:val="center"/>
          </w:tcPr>
          <w:p>
            <w:pPr>
              <w:jc w:val="center"/>
              <w:rPr>
                <w:rFonts w:cs="Times New Roman"/>
                <w:kern w:val="0"/>
                <w:sz w:val="18"/>
                <w:szCs w:val="18"/>
              </w:rPr>
            </w:pPr>
            <w:r>
              <w:rPr>
                <w:rFonts w:hint="eastAsia" w:cs="Times New Roman"/>
                <w:kern w:val="0"/>
                <w:sz w:val="18"/>
                <w:szCs w:val="18"/>
              </w:rPr>
              <w:t>机电一体化综合实训室</w:t>
            </w:r>
          </w:p>
        </w:tc>
        <w:tc>
          <w:tcPr>
            <w:tcW w:w="3131" w:type="dxa"/>
            <w:vAlign w:val="center"/>
          </w:tcPr>
          <w:p>
            <w:pPr>
              <w:widowControl/>
              <w:ind w:right="174" w:rightChars="83"/>
              <w:jc w:val="left"/>
              <w:rPr>
                <w:rFonts w:cs="Times New Roman"/>
                <w:kern w:val="0"/>
                <w:sz w:val="18"/>
                <w:szCs w:val="18"/>
              </w:rPr>
            </w:pPr>
            <w:r>
              <w:rPr>
                <w:rFonts w:hint="eastAsia" w:cs="Times New Roman"/>
                <w:kern w:val="0"/>
                <w:sz w:val="18"/>
                <w:szCs w:val="18"/>
              </w:rPr>
              <w:t>配备自动生产线实训工作站2套以上，智能制造单元实训平台1套及以上、相关测量工具、测量仪表及拆装工具等</w:t>
            </w:r>
          </w:p>
        </w:tc>
        <w:tc>
          <w:tcPr>
            <w:tcW w:w="725" w:type="dxa"/>
            <w:vAlign w:val="center"/>
          </w:tcPr>
          <w:p>
            <w:pPr>
              <w:widowControl/>
              <w:ind w:right="174" w:rightChars="83"/>
              <w:jc w:val="center"/>
              <w:rPr>
                <w:rFonts w:cs="Times New Roman"/>
                <w:kern w:val="0"/>
                <w:sz w:val="18"/>
                <w:szCs w:val="18"/>
              </w:rPr>
            </w:pPr>
            <w:r>
              <w:rPr>
                <w:rFonts w:hint="eastAsia" w:cs="Times New Roman"/>
                <w:kern w:val="0"/>
                <w:sz w:val="18"/>
                <w:szCs w:val="18"/>
              </w:rPr>
              <w:t>40</w:t>
            </w:r>
          </w:p>
        </w:tc>
        <w:tc>
          <w:tcPr>
            <w:tcW w:w="2361" w:type="dxa"/>
            <w:vAlign w:val="center"/>
          </w:tcPr>
          <w:p>
            <w:pPr>
              <w:widowControl/>
              <w:ind w:right="174" w:rightChars="83"/>
              <w:jc w:val="left"/>
              <w:rPr>
                <w:rFonts w:cs="Times New Roman"/>
                <w:kern w:val="0"/>
                <w:sz w:val="18"/>
                <w:szCs w:val="18"/>
              </w:rPr>
            </w:pPr>
            <w:r>
              <w:rPr>
                <w:rFonts w:hint="eastAsia" w:cs="Times New Roman"/>
                <w:kern w:val="0"/>
                <w:sz w:val="18"/>
                <w:szCs w:val="18"/>
              </w:rPr>
              <w:t>自动化技术</w:t>
            </w:r>
          </w:p>
          <w:p>
            <w:pPr>
              <w:widowControl/>
              <w:ind w:right="174" w:rightChars="83"/>
              <w:jc w:val="left"/>
              <w:rPr>
                <w:rFonts w:cs="Times New Roman"/>
                <w:kern w:val="0"/>
                <w:sz w:val="18"/>
                <w:szCs w:val="18"/>
              </w:rPr>
            </w:pPr>
            <w:r>
              <w:rPr>
                <w:rFonts w:hint="eastAsia" w:cs="Times New Roman"/>
                <w:kern w:val="0"/>
                <w:sz w:val="18"/>
                <w:szCs w:val="18"/>
              </w:rPr>
              <w:t>机电一体化系统</w:t>
            </w:r>
          </w:p>
        </w:tc>
      </w:tr>
    </w:tbl>
    <w:p>
      <w:pPr>
        <w:spacing w:line="300" w:lineRule="auto"/>
        <w:ind w:firstLine="420" w:firstLineChars="200"/>
        <w:rPr>
          <w:rFonts w:ascii="宋体" w:hAnsi="宋体" w:eastAsia="宋体" w:cs="楷体"/>
          <w:color w:val="000000"/>
          <w:szCs w:val="21"/>
          <w:lang w:val="zh-TW" w:bidi="zh-TW"/>
        </w:rPr>
      </w:pPr>
      <w:bookmarkStart w:id="30" w:name="bookmark85"/>
      <w:bookmarkEnd w:id="30"/>
      <w:r>
        <w:rPr>
          <w:rFonts w:hint="eastAsia" w:ascii="宋体" w:hAnsi="宋体" w:eastAsia="宋体" w:cs="楷体"/>
          <w:color w:val="000000"/>
          <w:szCs w:val="21"/>
          <w:lang w:bidi="en-US"/>
        </w:rPr>
        <w:t>1.校外</w:t>
      </w:r>
      <w:r>
        <w:rPr>
          <w:rFonts w:hint="eastAsia" w:ascii="宋体" w:hAnsi="宋体" w:eastAsia="宋体" w:cs="楷体"/>
          <w:color w:val="000000"/>
          <w:szCs w:val="21"/>
          <w:lang w:val="zh-TW" w:eastAsia="zh-TW" w:bidi="zh-TW"/>
        </w:rPr>
        <w:t>实训基地基本要求</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与相关企业建立了长期合作关系，建有产教融合的企业实习基地12家。每年能够提供机电一体化技术零件加工、设备装配、维修、销售与技术支持等稳定的实习岗位，满足每年近百名学生的认识实习、随岗实习、轮岗实习及毕业顶岗实习的需求。校企共同制定学生实习方案和制度。</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企业为每一位实习的学生安排了带教指导教师，制订详细的带教计划，开展企业安全教育、生产技术培训。学校为学生安排实习指导老师，有效保证学生日常工作、学习、生活。学校为每一位学生购买了企业实习保险。</w:t>
      </w:r>
    </w:p>
    <w:p>
      <w:pPr>
        <w:spacing w:line="300" w:lineRule="auto"/>
        <w:ind w:firstLine="420" w:firstLineChars="200"/>
        <w:rPr>
          <w:rFonts w:ascii="宋体" w:hAnsi="宋体" w:eastAsia="宋体" w:cs="宋体"/>
          <w:szCs w:val="21"/>
        </w:rPr>
      </w:pPr>
      <w:r>
        <w:rPr>
          <w:rFonts w:hint="eastAsia" w:ascii="宋体" w:hAnsi="宋体" w:eastAsia="宋体" w:cs="宋体"/>
          <w:szCs w:val="21"/>
        </w:rPr>
        <w:t>校外主要实习基地如表7所示。</w:t>
      </w:r>
    </w:p>
    <w:p>
      <w:pPr>
        <w:pStyle w:val="28"/>
        <w:spacing w:line="360" w:lineRule="auto"/>
        <w:jc w:val="center"/>
        <w:rPr>
          <w:rFonts w:cs="黑体"/>
          <w:b/>
        </w:rPr>
      </w:pPr>
      <w:r>
        <w:rPr>
          <w:rFonts w:hint="eastAsia" w:cs="黑体"/>
          <w:b/>
        </w:rPr>
        <w:t>表7 校外实习基地表</w:t>
      </w:r>
    </w:p>
    <w:tbl>
      <w:tblPr>
        <w:tblStyle w:val="12"/>
        <w:tblW w:w="84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295"/>
        <w:gridCol w:w="1083"/>
        <w:gridCol w:w="3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b/>
                <w:sz w:val="18"/>
                <w:szCs w:val="18"/>
              </w:rPr>
            </w:pPr>
            <w:r>
              <w:rPr>
                <w:rFonts w:hint="eastAsia" w:cs="黑体"/>
                <w:b/>
                <w:sz w:val="18"/>
                <w:szCs w:val="18"/>
              </w:rPr>
              <w:t>序号</w:t>
            </w:r>
          </w:p>
        </w:tc>
        <w:tc>
          <w:tcPr>
            <w:tcW w:w="329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b/>
                <w:sz w:val="18"/>
                <w:szCs w:val="18"/>
              </w:rPr>
            </w:pPr>
            <w:r>
              <w:rPr>
                <w:rFonts w:hint="eastAsia" w:cs="黑体"/>
                <w:b/>
                <w:sz w:val="18"/>
                <w:szCs w:val="18"/>
              </w:rPr>
              <w:t>单位</w:t>
            </w:r>
          </w:p>
        </w:tc>
        <w:tc>
          <w:tcPr>
            <w:tcW w:w="10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b/>
                <w:sz w:val="18"/>
                <w:szCs w:val="18"/>
              </w:rPr>
            </w:pPr>
            <w:r>
              <w:rPr>
                <w:rFonts w:hint="eastAsia" w:cs="黑体"/>
                <w:b/>
                <w:sz w:val="18"/>
                <w:szCs w:val="18"/>
              </w:rPr>
              <w:t>序号</w:t>
            </w:r>
          </w:p>
        </w:tc>
        <w:tc>
          <w:tcPr>
            <w:tcW w:w="3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b/>
                <w:sz w:val="18"/>
                <w:szCs w:val="18"/>
              </w:rPr>
            </w:pPr>
            <w:r>
              <w:rPr>
                <w:rFonts w:hint="eastAsia" w:cs="黑体"/>
                <w:b/>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1</w:t>
            </w:r>
          </w:p>
        </w:tc>
        <w:tc>
          <w:tcPr>
            <w:tcW w:w="329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上海通用汽车有限公司</w:t>
            </w:r>
          </w:p>
        </w:tc>
        <w:tc>
          <w:tcPr>
            <w:tcW w:w="10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7</w:t>
            </w:r>
          </w:p>
        </w:tc>
        <w:tc>
          <w:tcPr>
            <w:tcW w:w="31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上海延峰汽车饰件有限公司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2</w:t>
            </w:r>
          </w:p>
        </w:tc>
        <w:tc>
          <w:tcPr>
            <w:tcW w:w="329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上海大众汽车有限公司</w:t>
            </w:r>
          </w:p>
        </w:tc>
        <w:tc>
          <w:tcPr>
            <w:tcW w:w="10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8</w:t>
            </w:r>
          </w:p>
        </w:tc>
        <w:tc>
          <w:tcPr>
            <w:tcW w:w="31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中国人民解放军第4724工厂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3</w:t>
            </w:r>
          </w:p>
        </w:tc>
        <w:tc>
          <w:tcPr>
            <w:tcW w:w="329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法国TLD集团腾达航勤设备（上海）有限公司</w:t>
            </w:r>
          </w:p>
        </w:tc>
        <w:tc>
          <w:tcPr>
            <w:tcW w:w="10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9</w:t>
            </w:r>
          </w:p>
        </w:tc>
        <w:tc>
          <w:tcPr>
            <w:tcW w:w="31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上海东湖机械厂（4805）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4</w:t>
            </w:r>
          </w:p>
        </w:tc>
        <w:tc>
          <w:tcPr>
            <w:tcW w:w="329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林德叉车（上海）有限公司</w:t>
            </w:r>
          </w:p>
        </w:tc>
        <w:tc>
          <w:tcPr>
            <w:tcW w:w="10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10</w:t>
            </w:r>
          </w:p>
        </w:tc>
        <w:tc>
          <w:tcPr>
            <w:tcW w:w="31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中国商飞上海飞机制造有限公司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5</w:t>
            </w:r>
          </w:p>
        </w:tc>
        <w:tc>
          <w:tcPr>
            <w:tcW w:w="329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FESTO（中国）有限公司</w:t>
            </w:r>
          </w:p>
        </w:tc>
        <w:tc>
          <w:tcPr>
            <w:tcW w:w="10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11</w:t>
            </w:r>
          </w:p>
        </w:tc>
        <w:tc>
          <w:tcPr>
            <w:tcW w:w="31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上海华力微电子有限公司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6</w:t>
            </w:r>
          </w:p>
        </w:tc>
        <w:tc>
          <w:tcPr>
            <w:tcW w:w="329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上海博泽电机有限公司</w:t>
            </w:r>
          </w:p>
        </w:tc>
        <w:tc>
          <w:tcPr>
            <w:tcW w:w="108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cs="黑体"/>
                <w:sz w:val="18"/>
                <w:szCs w:val="18"/>
              </w:rPr>
            </w:pPr>
            <w:r>
              <w:rPr>
                <w:rFonts w:cs="黑体"/>
                <w:sz w:val="18"/>
                <w:szCs w:val="18"/>
              </w:rPr>
              <w:t>12</w:t>
            </w:r>
          </w:p>
        </w:tc>
        <w:tc>
          <w:tcPr>
            <w:tcW w:w="31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cs="黑体"/>
                <w:sz w:val="18"/>
                <w:szCs w:val="18"/>
              </w:rPr>
            </w:pPr>
            <w:r>
              <w:rPr>
                <w:rFonts w:hint="eastAsia" w:cs="黑体"/>
                <w:sz w:val="18"/>
                <w:szCs w:val="18"/>
              </w:rPr>
              <w:t>上海航天803研究所</w:t>
            </w:r>
          </w:p>
        </w:tc>
      </w:tr>
    </w:tbl>
    <w:p>
      <w:pPr>
        <w:spacing w:line="300" w:lineRule="auto"/>
        <w:ind w:firstLine="420" w:firstLineChars="200"/>
        <w:rPr>
          <w:rFonts w:ascii="宋体" w:hAnsi="宋体" w:eastAsia="宋体" w:cs="宋体"/>
          <w:color w:val="000000"/>
          <w:szCs w:val="21"/>
          <w:lang w:bidi="zh-TW"/>
        </w:rPr>
      </w:pPr>
      <w:bookmarkStart w:id="31" w:name="bookmark86"/>
      <w:bookmarkEnd w:id="31"/>
      <w:r>
        <w:rPr>
          <w:rFonts w:hint="eastAsia" w:ascii="宋体" w:hAnsi="宋体" w:eastAsia="宋体" w:cs="宋体"/>
          <w:color w:val="000000"/>
          <w:szCs w:val="21"/>
          <w:lang w:bidi="zh-TW"/>
        </w:rPr>
        <w:t>2.学生实习基地基本要求</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学生实习基地基本要求为：具有稳定的校外实习基地；能提供机电一体化应用系统集成，机电一体化应用系统运行维护，自动化控制系统安装调试、销售与技术支持等相关实习岗位，能涵盖当前相关产业发展的主流技术，可接纳一定规模的学生实习；能够配备相应数 量的指导教师对学生实习进行指导和管理；有保证实习生日常工作、学习、生活的规章制 度，有安全、保险保障。</w:t>
      </w:r>
    </w:p>
    <w:p>
      <w:pPr>
        <w:spacing w:line="300" w:lineRule="auto"/>
        <w:ind w:firstLine="420" w:firstLineChars="200"/>
        <w:rPr>
          <w:rFonts w:ascii="宋体" w:hAnsi="宋体" w:eastAsia="宋体" w:cs="楷体"/>
          <w:szCs w:val="21"/>
          <w:lang w:val="zh-TW" w:eastAsia="zh-TW" w:bidi="zh-TW"/>
        </w:rPr>
      </w:pPr>
      <w:bookmarkStart w:id="32" w:name="bookmark87"/>
      <w:bookmarkEnd w:id="32"/>
      <w:r>
        <w:rPr>
          <w:rFonts w:hint="eastAsia" w:ascii="宋体" w:hAnsi="宋体" w:eastAsia="宋体" w:cs="楷体"/>
          <w:color w:val="000000"/>
          <w:szCs w:val="21"/>
          <w:lang w:val="zh-TW" w:bidi="zh-TW"/>
        </w:rPr>
        <w:t>3.</w:t>
      </w:r>
      <w:r>
        <w:rPr>
          <w:rFonts w:hint="eastAsia" w:ascii="宋体" w:hAnsi="宋体" w:eastAsia="宋体" w:cs="楷体"/>
          <w:color w:val="000000"/>
          <w:szCs w:val="21"/>
          <w:lang w:val="zh-TW" w:eastAsia="zh-TW" w:bidi="zh-TW"/>
        </w:rPr>
        <w:t>支持信息化教学方面的基本要求</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支持信息化教学方面的基本要求为：具有可利用的数字化教学资源库、文献资料、常见问题解答等信息化条件；鼓励教师开发并利用信息化教学资源、教学平台，创新教学方法，引导学生利用信息化教学条件自主学习，提升教学效果。</w:t>
      </w:r>
    </w:p>
    <w:p>
      <w:pPr>
        <w:overflowPunct w:val="0"/>
        <w:adjustRightInd w:val="0"/>
        <w:spacing w:line="360" w:lineRule="auto"/>
        <w:ind w:firstLine="422" w:firstLineChars="200"/>
        <w:rPr>
          <w:rFonts w:ascii="宋体" w:hAnsi="宋体" w:eastAsia="宋体" w:cs="Times New Roman"/>
          <w:b/>
          <w:szCs w:val="21"/>
        </w:rPr>
      </w:pPr>
      <w:bookmarkStart w:id="33" w:name="_Toc73567435"/>
      <w:r>
        <w:rPr>
          <w:rFonts w:ascii="宋体" w:hAnsi="宋体" w:eastAsia="宋体" w:cs="Times New Roman"/>
          <w:b/>
          <w:szCs w:val="21"/>
        </w:rPr>
        <w:t>（三）教学资源</w:t>
      </w:r>
      <w:bookmarkEnd w:id="33"/>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1.教材选用基本要求</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按照学校教材选用制度，首选国家规划教材，其次选用国家规划教材的立项教材，再次选用行业标准教材，最后使用按国家标准结合行业岗位需求编写的活页式教材。尽量选用近三年出版的高职高专教材。采用教材三级审核制：任课教师推选；教研室审议；二级学院教学院长对教材质量、内容方面进行审核，党总支组织会议重点从意识形态方面对教材进行审核批准；学校教务处对二级学院提交教材进行审定；学校党委办公室对选用教材进行不定期抽查。</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2.图书文献配备基本要求</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近三年出版发行图书。</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3.数字教学资源配备基本要求</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（1）建立开放共享的专业教学资源库</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创建共享型专业教学资源库是与国际接轨专业教学标准开发的重要任务。教师、学生可以根据自己的个性需求，通过Web方式，浏览、查询、下载、使用和上传资源，并自主组织学习效果的测试与评价，实现师师、师生和生生之间的交流互动。不断推进教学资源的共建共享，提高优质教学资源的使用效率，扩大受益面。</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（2）专业教学资源建设内容</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专业建设标准库</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参考国际化职业标准、技术标准、业务流程、作业规范、教学文件等，以工学结合为基础，制定专业人才培养方案、专业教学条件配置标准、课程标准、教学指导等指导性文件。</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课程资源库</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引进国外优质教材及课程资源，结合国内各职业院校实际情况，编制学习指导、授课计划、学习单元描述、教学课件、习题库、试题库等教学文件。</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参考企业工单表、工作程序表单和工作计划表单，开发适应专业课程教学的工作页、任务单、评价表等课程资源。</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素材资源库</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搜集整理构成各类素材资源库，如材料与元、器件库、工具与量具、仪器与设备库、生产工艺、企业案例库、仿真与虚拟资源库、使用与维护手册、技术支持等，素材形式应以视频、动画、图片等形式表现。</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 xml:space="preserve">职业信息库 </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行业介绍、企业信息、企业产品新技术介绍、企业职业岗位描述、企业相关技术标准、企业链接等。</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（3）建立与国内外相关职业院校网站的链接，实现信息互通、优势互补、资源共享。</w:t>
      </w:r>
    </w:p>
    <w:p>
      <w:pPr>
        <w:overflowPunct w:val="0"/>
        <w:adjustRightInd w:val="0"/>
        <w:spacing w:line="360" w:lineRule="auto"/>
        <w:ind w:firstLine="422" w:firstLineChars="200"/>
        <w:rPr>
          <w:rFonts w:ascii="宋体" w:hAnsi="宋体" w:eastAsia="宋体" w:cs="Times New Roman"/>
          <w:b/>
          <w:szCs w:val="21"/>
        </w:rPr>
      </w:pPr>
      <w:bookmarkStart w:id="34" w:name="_Toc73567436"/>
      <w:r>
        <w:rPr>
          <w:rFonts w:ascii="宋体" w:hAnsi="宋体" w:eastAsia="宋体" w:cs="Times New Roman"/>
          <w:b/>
          <w:szCs w:val="21"/>
        </w:rPr>
        <w:t>（四）教学方法</w:t>
      </w:r>
      <w:bookmarkEnd w:id="34"/>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楷体"/>
          <w:color w:val="000000"/>
          <w:szCs w:val="21"/>
          <w:lang w:val="zh-TW" w:eastAsia="zh-TW" w:bidi="zh-TW"/>
        </w:rPr>
        <w:t>对实施教学应采取的方法提出指导建议，指导教师依据专业培养目标、课程教学要求、学生学习基础、教学资源等，采用适当的教学方法，以达成预期教学目标。坚持学中做、做中学，倡导因材施教、因需施教，鼓励创新教学方法和策略，采用理实一体化教学、案例教学、项目教学等方法。鼓励信息化技术在教育教学中的应用，改进教学方式。</w:t>
      </w:r>
    </w:p>
    <w:p>
      <w:pPr>
        <w:overflowPunct w:val="0"/>
        <w:adjustRightInd w:val="0"/>
        <w:spacing w:line="360" w:lineRule="auto"/>
        <w:ind w:firstLine="422" w:firstLineChars="200"/>
        <w:rPr>
          <w:rFonts w:ascii="宋体" w:hAnsi="宋体" w:eastAsia="宋体" w:cs="Times New Roman"/>
          <w:b/>
          <w:szCs w:val="21"/>
        </w:rPr>
      </w:pPr>
      <w:bookmarkStart w:id="35" w:name="_Toc73567437"/>
      <w:r>
        <w:rPr>
          <w:rFonts w:ascii="宋体" w:hAnsi="宋体" w:eastAsia="宋体" w:cs="Times New Roman"/>
          <w:b/>
          <w:szCs w:val="21"/>
        </w:rPr>
        <w:t>（五）教学评价</w:t>
      </w:r>
      <w:bookmarkEnd w:id="35"/>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宋体"/>
          <w:color w:val="000000"/>
          <w:szCs w:val="21"/>
          <w:lang w:bidi="zh-TW"/>
        </w:rPr>
        <w:t>对教师教学、学生学习评价的方式方法提出建议。要加强对教学过程的质量监控，改革</w:t>
      </w:r>
      <w:r>
        <w:rPr>
          <w:rFonts w:hint="eastAsia" w:ascii="宋体" w:hAnsi="宋体" w:eastAsia="宋体" w:cs="楷体"/>
          <w:color w:val="000000"/>
          <w:szCs w:val="21"/>
          <w:lang w:val="zh-TW" w:eastAsia="zh-TW" w:bidi="zh-TW"/>
        </w:rPr>
        <w:t>教学评价和标准和方法。对学生的学业考核评价内容应兼顾认知、技能、情感等方面，评价应体现评价标准、评价主体、评价方式、评价过程的多元化，如采用观察、口试、笔试、顶岗操作、职业技能大赛、职业资格鉴定等评价、评定方式。鼓励开展第三方评价。</w:t>
      </w:r>
    </w:p>
    <w:p>
      <w:pPr>
        <w:overflowPunct w:val="0"/>
        <w:adjustRightInd w:val="0"/>
        <w:spacing w:line="360" w:lineRule="auto"/>
        <w:ind w:firstLine="422" w:firstLineChars="200"/>
        <w:rPr>
          <w:rFonts w:ascii="宋体" w:hAnsi="宋体" w:eastAsia="宋体" w:cs="Times New Roman"/>
          <w:b/>
          <w:szCs w:val="21"/>
        </w:rPr>
      </w:pPr>
      <w:bookmarkStart w:id="36" w:name="_Toc73567438"/>
      <w:r>
        <w:rPr>
          <w:rFonts w:ascii="宋体" w:hAnsi="宋体" w:eastAsia="宋体" w:cs="Times New Roman"/>
          <w:b/>
          <w:szCs w:val="21"/>
        </w:rPr>
        <w:t>（六）质量管理</w:t>
      </w:r>
      <w:bookmarkEnd w:id="36"/>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宋体"/>
          <w:color w:val="000000"/>
          <w:szCs w:val="21"/>
          <w:lang w:bidi="zh-TW"/>
        </w:rPr>
        <w:t>为确保人才培养质量</w:t>
      </w:r>
      <w:r>
        <w:rPr>
          <w:rFonts w:hint="eastAsia" w:ascii="宋体" w:hAnsi="宋体" w:eastAsia="宋体" w:cs="楷体"/>
          <w:color w:val="000000"/>
          <w:szCs w:val="21"/>
          <w:lang w:val="zh-TW" w:eastAsia="zh-TW" w:bidi="zh-TW"/>
        </w:rPr>
        <w:t>，学院建立质量监控体系。质量监控包括人才培养目标监控、人才培养方案和教学大纲监控、教学过程监控、学生信息反馈、教材质量监控。</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楷体"/>
          <w:color w:val="000000"/>
          <w:szCs w:val="21"/>
          <w:lang w:val="zh-TW" w:bidi="zh-TW"/>
        </w:rPr>
        <w:t>1.</w:t>
      </w:r>
      <w:r>
        <w:rPr>
          <w:rFonts w:hint="eastAsia" w:ascii="宋体" w:hAnsi="宋体" w:eastAsia="宋体" w:cs="楷体"/>
          <w:color w:val="000000"/>
          <w:szCs w:val="21"/>
          <w:lang w:val="zh-TW" w:eastAsia="zh-TW" w:bidi="zh-TW"/>
        </w:rPr>
        <w:t>人才培养目</w:t>
      </w:r>
      <w:r>
        <w:rPr>
          <w:rFonts w:hint="eastAsia" w:ascii="宋体" w:hAnsi="宋体" w:eastAsia="宋体" w:cs="宋体"/>
          <w:color w:val="000000"/>
          <w:szCs w:val="21"/>
          <w:lang w:bidi="zh-TW"/>
        </w:rPr>
        <w:t>标监控</w:t>
      </w:r>
    </w:p>
    <w:p>
      <w:pPr>
        <w:spacing w:line="300" w:lineRule="auto"/>
        <w:ind w:firstLine="420" w:firstLineChars="200"/>
        <w:rPr>
          <w:rFonts w:ascii="宋体" w:hAnsi="宋体" w:eastAsia="宋体" w:cs="宋体"/>
          <w:color w:val="000000"/>
          <w:szCs w:val="21"/>
          <w:lang w:bidi="zh-TW"/>
        </w:rPr>
      </w:pPr>
      <w:r>
        <w:rPr>
          <w:rFonts w:hint="eastAsia" w:ascii="宋体" w:hAnsi="宋体" w:eastAsia="宋体" w:cs="宋体"/>
          <w:color w:val="000000"/>
          <w:szCs w:val="21"/>
          <w:lang w:bidi="zh-TW"/>
        </w:rPr>
        <w:t>培养具有职业素养、职业能力、创新精神创业能力、可持续发展能力“四元合一”的高素质高端技能型专门人才。</w:t>
      </w:r>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宋体"/>
          <w:color w:val="000000"/>
          <w:szCs w:val="21"/>
          <w:lang w:bidi="zh-TW"/>
        </w:rPr>
        <w:t>2.人才培养方</w:t>
      </w:r>
      <w:r>
        <w:rPr>
          <w:rFonts w:hint="eastAsia" w:ascii="宋体" w:hAnsi="宋体" w:eastAsia="宋体" w:cs="楷体"/>
          <w:color w:val="000000"/>
          <w:szCs w:val="21"/>
          <w:lang w:val="zh-TW" w:eastAsia="zh-TW" w:bidi="zh-TW"/>
        </w:rPr>
        <w:t>案和教学大纲制订与执行监控</w:t>
      </w:r>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宋体"/>
          <w:color w:val="000000"/>
          <w:szCs w:val="21"/>
          <w:lang w:bidi="zh-TW"/>
        </w:rPr>
        <w:t>人才培养方案和教学大纲是组织和实施人才培养工作的核心教学文件</w:t>
      </w:r>
      <w:r>
        <w:rPr>
          <w:rFonts w:hint="eastAsia" w:ascii="宋体" w:hAnsi="宋体" w:eastAsia="宋体" w:cs="楷体"/>
          <w:color w:val="000000"/>
          <w:szCs w:val="21"/>
          <w:lang w:val="zh-TW" w:eastAsia="zh-TW" w:bidi="zh-TW"/>
        </w:rPr>
        <w:t>，也是开展教学工作和对教学工作监控与评估的主要依据。</w:t>
      </w:r>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楷体"/>
          <w:color w:val="000000"/>
          <w:szCs w:val="21"/>
          <w:lang w:val="zh-TW" w:bidi="zh-TW"/>
        </w:rPr>
        <w:t>3.</w:t>
      </w:r>
      <w:r>
        <w:rPr>
          <w:rFonts w:hint="eastAsia" w:ascii="宋体" w:hAnsi="宋体" w:eastAsia="宋体" w:cs="宋体"/>
          <w:color w:val="000000"/>
          <w:szCs w:val="21"/>
          <w:lang w:bidi="zh-TW"/>
        </w:rPr>
        <w:t>教学过程监控</w:t>
      </w:r>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宋体"/>
          <w:color w:val="000000"/>
          <w:szCs w:val="21"/>
          <w:lang w:bidi="zh-TW"/>
        </w:rPr>
        <w:t>主要通过听课</w:t>
      </w:r>
      <w:r>
        <w:rPr>
          <w:rFonts w:hint="eastAsia" w:ascii="宋体" w:hAnsi="宋体" w:eastAsia="宋体" w:cs="楷体"/>
          <w:color w:val="000000"/>
          <w:szCs w:val="21"/>
          <w:lang w:val="zh-TW" w:eastAsia="zh-TW" w:bidi="zh-TW"/>
        </w:rPr>
        <w:t>、教学检查、教学督导、学生评教、教师评学、考试等实现监控目的。</w:t>
      </w:r>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楷体"/>
          <w:color w:val="000000"/>
          <w:szCs w:val="21"/>
          <w:lang w:val="zh-TW" w:bidi="zh-TW"/>
        </w:rPr>
        <w:t>4.</w:t>
      </w:r>
      <w:r>
        <w:rPr>
          <w:rFonts w:hint="eastAsia" w:ascii="宋体" w:hAnsi="宋体" w:eastAsia="宋体" w:cs="宋体"/>
          <w:color w:val="000000"/>
          <w:szCs w:val="21"/>
          <w:lang w:bidi="zh-TW"/>
        </w:rPr>
        <w:t>学生信息反馈</w:t>
      </w:r>
    </w:p>
    <w:p>
      <w:pPr>
        <w:spacing w:line="300" w:lineRule="auto"/>
        <w:ind w:firstLine="420" w:firstLineChars="200"/>
        <w:rPr>
          <w:rFonts w:ascii="宋体" w:hAnsi="宋体" w:eastAsia="宋体" w:cs="楷体"/>
          <w:color w:val="000000"/>
          <w:szCs w:val="21"/>
          <w:lang w:val="zh-TW" w:eastAsia="zh-TW" w:bidi="zh-TW"/>
        </w:rPr>
      </w:pPr>
      <w:r>
        <w:rPr>
          <w:rFonts w:hint="eastAsia" w:ascii="宋体" w:hAnsi="宋体" w:eastAsia="宋体" w:cs="宋体"/>
          <w:color w:val="000000"/>
          <w:szCs w:val="21"/>
          <w:lang w:bidi="zh-TW"/>
        </w:rPr>
        <w:t>建立学生教学信息员制度</w:t>
      </w:r>
      <w:r>
        <w:rPr>
          <w:rFonts w:hint="eastAsia" w:ascii="宋体" w:hAnsi="宋体" w:eastAsia="宋体" w:cs="楷体"/>
          <w:color w:val="000000"/>
          <w:szCs w:val="21"/>
          <w:lang w:val="zh-TW" w:eastAsia="zh-TW" w:bidi="zh-TW"/>
        </w:rPr>
        <w:t>。</w:t>
      </w:r>
    </w:p>
    <w:p>
      <w:pPr>
        <w:keepNext/>
        <w:keepLines/>
        <w:spacing w:before="156" w:beforeLines="50" w:after="156" w:afterLines="50" w:line="300" w:lineRule="auto"/>
        <w:outlineLvl w:val="1"/>
        <w:rPr>
          <w:rFonts w:ascii="Arial" w:hAnsi="Arial" w:eastAsia="黑体" w:cs="Times New Roman"/>
          <w:b/>
          <w:color w:val="000000"/>
          <w:sz w:val="24"/>
          <w:szCs w:val="28"/>
        </w:rPr>
      </w:pPr>
      <w:bookmarkStart w:id="37" w:name="_Toc73567439"/>
      <w:bookmarkStart w:id="38" w:name="_Toc105704419"/>
      <w:bookmarkStart w:id="39" w:name="_Toc4892"/>
      <w:r>
        <w:rPr>
          <w:rFonts w:hint="eastAsia" w:ascii="Arial" w:hAnsi="Arial" w:eastAsia="黑体" w:cs="Times New Roman"/>
          <w:b/>
          <w:color w:val="000000"/>
          <w:sz w:val="24"/>
          <w:szCs w:val="28"/>
        </w:rPr>
        <w:t>九、毕业要求</w:t>
      </w:r>
      <w:bookmarkEnd w:id="37"/>
      <w:bookmarkEnd w:id="38"/>
      <w:bookmarkEnd w:id="39"/>
    </w:p>
    <w:p>
      <w:pPr>
        <w:spacing w:line="300" w:lineRule="auto"/>
        <w:ind w:firstLine="420" w:firstLineChars="200"/>
        <w:rPr>
          <w:rFonts w:ascii="宋体" w:hAnsi="宋体" w:eastAsia="宋体" w:cs="楷体"/>
          <w:color w:val="000000"/>
          <w:szCs w:val="21"/>
          <w:lang w:val="zh-TW" w:bidi="zh-TW"/>
        </w:rPr>
      </w:pPr>
      <w:r>
        <w:rPr>
          <w:rFonts w:hint="eastAsia" w:ascii="宋体" w:hAnsi="宋体" w:eastAsia="宋体" w:cs="宋体"/>
          <w:color w:val="000000"/>
          <w:szCs w:val="21"/>
          <w:lang w:bidi="zh-TW"/>
        </w:rPr>
        <w:t>毕业要求修满专业人才培养方案所规定的学分并取得相应的职业资格证书或技能等级</w:t>
      </w:r>
      <w:r>
        <w:rPr>
          <w:rFonts w:hint="eastAsia" w:ascii="宋体" w:hAnsi="宋体" w:eastAsia="宋体" w:cs="楷体"/>
          <w:color w:val="000000"/>
          <w:szCs w:val="21"/>
          <w:lang w:val="zh-TW" w:eastAsia="zh-TW" w:bidi="zh-TW"/>
        </w:rPr>
        <w:t>证书，达到本专业人才培养目标和培养规格的要求。</w:t>
      </w:r>
    </w:p>
    <w:p>
      <w:pPr>
        <w:spacing w:line="360" w:lineRule="auto"/>
        <w:jc w:val="center"/>
        <w:rPr>
          <w:rFonts w:eastAsia="PMingLiU" w:cs="楷体"/>
          <w:color w:val="000000"/>
          <w:lang w:val="zh-TW" w:bidi="zh-TW"/>
        </w:rPr>
      </w:pPr>
      <w:r>
        <w:rPr>
          <w:rFonts w:hint="eastAsia" w:cs="黑体"/>
          <w:b/>
        </w:rPr>
        <w:t>表</w:t>
      </w:r>
      <w:r>
        <w:rPr>
          <w:rFonts w:cs="黑体"/>
          <w:b/>
        </w:rPr>
        <w:t>8</w:t>
      </w:r>
      <w:r>
        <w:rPr>
          <w:rFonts w:hint="eastAsia" w:cs="黑体"/>
          <w:b/>
        </w:rPr>
        <w:t xml:space="preserve"> 职业资格</w:t>
      </w:r>
      <w:r>
        <w:rPr>
          <w:rFonts w:cs="黑体"/>
          <w:b/>
        </w:rPr>
        <w:t>证书要求</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6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spacing w:line="360" w:lineRule="auto"/>
              <w:jc w:val="center"/>
              <w:rPr>
                <w:rFonts w:ascii="宋体" w:hAnsi="宋体" w:eastAsia="宋体" w:cs="楷体"/>
                <w:color w:val="000000"/>
                <w:sz w:val="18"/>
                <w:szCs w:val="18"/>
                <w:lang w:val="zh-TW" w:bidi="zh-TW"/>
              </w:rPr>
            </w:pPr>
            <w:r>
              <w:rPr>
                <w:rFonts w:hint="eastAsia" w:ascii="宋体" w:hAnsi="宋体" w:eastAsia="宋体" w:cs="楷体"/>
                <w:color w:val="000000"/>
                <w:sz w:val="18"/>
                <w:szCs w:val="18"/>
                <w:lang w:val="zh-TW" w:bidi="zh-TW"/>
              </w:rPr>
              <w:t>职业资格证书或技能证书</w:t>
            </w:r>
          </w:p>
        </w:tc>
        <w:tc>
          <w:tcPr>
            <w:tcW w:w="6287" w:type="dxa"/>
            <w:vAlign w:val="center"/>
          </w:tcPr>
          <w:p>
            <w:pPr>
              <w:spacing w:line="360" w:lineRule="auto"/>
              <w:rPr>
                <w:rFonts w:ascii="宋体" w:hAnsi="宋体" w:eastAsia="宋体" w:cs="楷体"/>
                <w:color w:val="000000"/>
                <w:sz w:val="18"/>
                <w:szCs w:val="18"/>
                <w:lang w:val="zh-TW" w:bidi="zh-TW"/>
              </w:rPr>
            </w:pPr>
            <w:r>
              <w:rPr>
                <w:rFonts w:hint="eastAsia" w:ascii="宋体" w:hAnsi="宋体" w:eastAsia="宋体" w:cs="楷体"/>
                <w:color w:val="000000"/>
                <w:sz w:val="18"/>
                <w:szCs w:val="18"/>
                <w:lang w:val="zh-TW" w:bidi="zh-TW"/>
              </w:rPr>
              <w:t>1+X可编程控制系统集成及应用（中级）</w:t>
            </w:r>
          </w:p>
          <w:p>
            <w:pPr>
              <w:spacing w:line="360" w:lineRule="auto"/>
              <w:rPr>
                <w:rFonts w:ascii="宋体" w:hAnsi="宋体" w:eastAsia="宋体" w:cs="楷体"/>
                <w:color w:val="000000"/>
                <w:sz w:val="18"/>
                <w:szCs w:val="18"/>
                <w:lang w:val="zh-TW" w:bidi="zh-TW"/>
              </w:rPr>
            </w:pPr>
            <w:r>
              <w:rPr>
                <w:rFonts w:hint="eastAsia" w:ascii="宋体" w:hAnsi="宋体" w:eastAsia="宋体" w:cs="楷体"/>
                <w:color w:val="000000"/>
                <w:sz w:val="18"/>
                <w:szCs w:val="18"/>
                <w:lang w:val="zh-TW" w:bidi="zh-TW"/>
              </w:rPr>
              <w:t>机电一体化专项能力</w:t>
            </w:r>
          </w:p>
          <w:p>
            <w:pPr>
              <w:spacing w:line="360" w:lineRule="auto"/>
              <w:rPr>
                <w:rFonts w:ascii="宋体" w:hAnsi="宋体" w:eastAsia="宋体" w:cs="楷体"/>
                <w:color w:val="000000"/>
                <w:sz w:val="18"/>
                <w:szCs w:val="18"/>
                <w:lang w:val="zh-TW" w:bidi="zh-TW"/>
              </w:rPr>
            </w:pPr>
            <w:r>
              <w:rPr>
                <w:rFonts w:hint="eastAsia" w:ascii="宋体" w:hAnsi="宋体" w:eastAsia="宋体" w:cs="楷体"/>
                <w:color w:val="000000"/>
                <w:sz w:val="18"/>
                <w:szCs w:val="18"/>
                <w:lang w:val="zh-TW" w:bidi="zh-TW"/>
              </w:rPr>
              <w:t>德国工商行会机电一体化助理工程师证书（选考）</w:t>
            </w:r>
          </w:p>
        </w:tc>
      </w:tr>
    </w:tbl>
    <w:p>
      <w:pPr>
        <w:spacing w:line="360" w:lineRule="auto"/>
        <w:jc w:val="left"/>
        <w:rPr>
          <w:rFonts w:ascii="宋体" w:hAnsi="宋体" w:eastAsia="宋体" w:cs="楷体"/>
          <w:color w:val="000000"/>
          <w:szCs w:val="21"/>
          <w:lang w:val="zh-TW" w:bidi="zh-TW"/>
        </w:rPr>
      </w:pPr>
      <w:r>
        <w:rPr>
          <w:rFonts w:hint="eastAsia" w:ascii="宋体" w:hAnsi="宋体" w:eastAsia="宋体" w:cs="楷体"/>
          <w:color w:val="000000"/>
          <w:szCs w:val="21"/>
          <w:lang w:val="zh-TW" w:bidi="zh-TW"/>
        </w:rPr>
        <w:t>注：已经获取相关职业技能证书4级以上也可以作为毕业双证之一。</w:t>
      </w:r>
    </w:p>
    <w:p>
      <w:pPr>
        <w:spacing w:line="276" w:lineRule="auto"/>
        <w:rPr>
          <w:rFonts w:ascii="宋体" w:hAnsi="宋体" w:eastAsia="宋体" w:cs="楷体"/>
          <w:color w:val="000000"/>
          <w:sz w:val="24"/>
          <w:szCs w:val="24"/>
          <w:lang w:val="zh-TW" w:bidi="zh-TW"/>
        </w:rPr>
      </w:pPr>
      <w:bookmarkStart w:id="40" w:name="_GoBack"/>
      <w:bookmarkEnd w:id="40"/>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舒体">
    <w:altName w:val="宋体"/>
    <w:panose1 w:val="02010601030101010101"/>
    <w:charset w:val="86"/>
    <w:family w:val="auto"/>
    <w:pitch w:val="default"/>
    <w:sig w:usb0="00000000" w:usb1="00000000" w:usb2="00000010" w:usb3="00000000" w:csb0="00040000" w:csb1="00000000"/>
  </w:font>
  <w:font w:name="Arial Black">
    <w:panose1 w:val="020B0A04020102020204"/>
    <w:charset w:val="00"/>
    <w:family w:val="swiss"/>
    <w:pitch w:val="default"/>
    <w:sig w:usb0="A00002AF" w:usb1="400078FB" w:usb2="00000000" w:usb3="00000000" w:csb0="6000009F" w:csb1="DFD70000"/>
  </w:font>
  <w:font w:name="Arial">
    <w:panose1 w:val="020B0604020202020204"/>
    <w:charset w:val="00"/>
    <w:family w:val="swiss"/>
    <w:pitch w:val="default"/>
    <w:sig w:usb0="E0002EFF" w:usb1="C000785B" w:usb2="00000009" w:usb3="00000000" w:csb0="400001FF" w:csb1="FFFF0000"/>
  </w:font>
  <w:font w:name="方正仿宋简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0541685"/>
    </w:sdtPr>
    <w:sdtContent>
      <w:p>
        <w:pPr>
          <w:pStyle w:val="8"/>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B4DE62"/>
    <w:multiLevelType w:val="singleLevel"/>
    <w:tmpl w:val="60B4DE62"/>
    <w:lvl w:ilvl="0" w:tentative="0">
      <w:start w:val="1"/>
      <w:numFmt w:val="decimal"/>
      <w:suff w:val="nothing"/>
      <w:lvlText w:val="%1）"/>
      <w:lvlJc w:val="left"/>
    </w:lvl>
  </w:abstractNum>
  <w:abstractNum w:abstractNumId="1">
    <w:nsid w:val="6257D5D6"/>
    <w:multiLevelType w:val="singleLevel"/>
    <w:tmpl w:val="6257D5D6"/>
    <w:lvl w:ilvl="0" w:tentative="0">
      <w:start w:val="1"/>
      <w:numFmt w:val="decimal"/>
      <w:lvlText w:val="%1."/>
      <w:lvlJc w:val="left"/>
      <w:pPr>
        <w:tabs>
          <w:tab w:val="left" w:pos="312"/>
        </w:tabs>
        <w:ind w:left="0" w:firstLine="0"/>
      </w:pPr>
    </w:lvl>
  </w:abstractNum>
  <w:num w:numId="1">
    <w:abstractNumId w:val="0"/>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Tg1YWU5NmNhOWQ2NmU0MTQ0MjNhZmI1YjIzZDAifQ=="/>
  </w:docVars>
  <w:rsids>
    <w:rsidRoot w:val="00172A27"/>
    <w:rsid w:val="00000807"/>
    <w:rsid w:val="00001D41"/>
    <w:rsid w:val="000107F0"/>
    <w:rsid w:val="00011EA9"/>
    <w:rsid w:val="00016057"/>
    <w:rsid w:val="000160A6"/>
    <w:rsid w:val="0001651B"/>
    <w:rsid w:val="000219D9"/>
    <w:rsid w:val="00021C96"/>
    <w:rsid w:val="0002241E"/>
    <w:rsid w:val="000230E9"/>
    <w:rsid w:val="000325BE"/>
    <w:rsid w:val="00037A97"/>
    <w:rsid w:val="00043845"/>
    <w:rsid w:val="00051D68"/>
    <w:rsid w:val="00052370"/>
    <w:rsid w:val="0005334F"/>
    <w:rsid w:val="000554FB"/>
    <w:rsid w:val="00055FAF"/>
    <w:rsid w:val="000564C9"/>
    <w:rsid w:val="00056979"/>
    <w:rsid w:val="000571F1"/>
    <w:rsid w:val="00061F52"/>
    <w:rsid w:val="000627C4"/>
    <w:rsid w:val="00076384"/>
    <w:rsid w:val="00077592"/>
    <w:rsid w:val="000809C0"/>
    <w:rsid w:val="000875E4"/>
    <w:rsid w:val="00090FD5"/>
    <w:rsid w:val="00091263"/>
    <w:rsid w:val="00091B16"/>
    <w:rsid w:val="000952B0"/>
    <w:rsid w:val="000A379B"/>
    <w:rsid w:val="000A4149"/>
    <w:rsid w:val="000A6807"/>
    <w:rsid w:val="000A6DE2"/>
    <w:rsid w:val="000B03D1"/>
    <w:rsid w:val="000B4A88"/>
    <w:rsid w:val="000B52FC"/>
    <w:rsid w:val="000B5707"/>
    <w:rsid w:val="000C7649"/>
    <w:rsid w:val="000C7C3B"/>
    <w:rsid w:val="000D1CF7"/>
    <w:rsid w:val="000D2346"/>
    <w:rsid w:val="000D29BC"/>
    <w:rsid w:val="000D6DBE"/>
    <w:rsid w:val="000D7F7E"/>
    <w:rsid w:val="000E4304"/>
    <w:rsid w:val="000E556B"/>
    <w:rsid w:val="000E5EE7"/>
    <w:rsid w:val="000E663E"/>
    <w:rsid w:val="000F524E"/>
    <w:rsid w:val="000F77E0"/>
    <w:rsid w:val="00104D78"/>
    <w:rsid w:val="00105DE2"/>
    <w:rsid w:val="00113F91"/>
    <w:rsid w:val="001152AE"/>
    <w:rsid w:val="001169AA"/>
    <w:rsid w:val="00120FF2"/>
    <w:rsid w:val="001222E5"/>
    <w:rsid w:val="0013461A"/>
    <w:rsid w:val="00134B39"/>
    <w:rsid w:val="00134D19"/>
    <w:rsid w:val="0014036E"/>
    <w:rsid w:val="00144FE5"/>
    <w:rsid w:val="00147803"/>
    <w:rsid w:val="00147BDD"/>
    <w:rsid w:val="00152A52"/>
    <w:rsid w:val="00155E31"/>
    <w:rsid w:val="00156440"/>
    <w:rsid w:val="00157995"/>
    <w:rsid w:val="0016478B"/>
    <w:rsid w:val="00166F7A"/>
    <w:rsid w:val="001679CE"/>
    <w:rsid w:val="00170788"/>
    <w:rsid w:val="00171C4E"/>
    <w:rsid w:val="00171D26"/>
    <w:rsid w:val="00172A27"/>
    <w:rsid w:val="00174A56"/>
    <w:rsid w:val="00174A97"/>
    <w:rsid w:val="00180A24"/>
    <w:rsid w:val="001841AE"/>
    <w:rsid w:val="00184D53"/>
    <w:rsid w:val="0018596A"/>
    <w:rsid w:val="00185F02"/>
    <w:rsid w:val="00185F8C"/>
    <w:rsid w:val="00186EEC"/>
    <w:rsid w:val="001876A4"/>
    <w:rsid w:val="00187761"/>
    <w:rsid w:val="00190C1A"/>
    <w:rsid w:val="00191057"/>
    <w:rsid w:val="001953F8"/>
    <w:rsid w:val="001969D1"/>
    <w:rsid w:val="0019710B"/>
    <w:rsid w:val="001A11DA"/>
    <w:rsid w:val="001A14DE"/>
    <w:rsid w:val="001A4495"/>
    <w:rsid w:val="001A68D7"/>
    <w:rsid w:val="001B3B8D"/>
    <w:rsid w:val="001B4E42"/>
    <w:rsid w:val="001B5189"/>
    <w:rsid w:val="001B64AD"/>
    <w:rsid w:val="001B7CE1"/>
    <w:rsid w:val="001C1A7B"/>
    <w:rsid w:val="001C443A"/>
    <w:rsid w:val="001C4533"/>
    <w:rsid w:val="001C4E4B"/>
    <w:rsid w:val="001C5CB5"/>
    <w:rsid w:val="001C7DA6"/>
    <w:rsid w:val="001D1D1E"/>
    <w:rsid w:val="001D2214"/>
    <w:rsid w:val="001D2BB5"/>
    <w:rsid w:val="001D6D87"/>
    <w:rsid w:val="001E31FA"/>
    <w:rsid w:val="001E4BC8"/>
    <w:rsid w:val="001E635B"/>
    <w:rsid w:val="001F015D"/>
    <w:rsid w:val="001F0F3F"/>
    <w:rsid w:val="001F63EF"/>
    <w:rsid w:val="00204B15"/>
    <w:rsid w:val="002157AF"/>
    <w:rsid w:val="00220C2F"/>
    <w:rsid w:val="002230F3"/>
    <w:rsid w:val="00226D34"/>
    <w:rsid w:val="0022722D"/>
    <w:rsid w:val="00231209"/>
    <w:rsid w:val="00232993"/>
    <w:rsid w:val="00233891"/>
    <w:rsid w:val="002420CE"/>
    <w:rsid w:val="00242BC0"/>
    <w:rsid w:val="0024676F"/>
    <w:rsid w:val="002477AD"/>
    <w:rsid w:val="00250005"/>
    <w:rsid w:val="0025217B"/>
    <w:rsid w:val="002574C6"/>
    <w:rsid w:val="00262BF5"/>
    <w:rsid w:val="00263656"/>
    <w:rsid w:val="00264EE5"/>
    <w:rsid w:val="002650C2"/>
    <w:rsid w:val="002711D2"/>
    <w:rsid w:val="00283081"/>
    <w:rsid w:val="00285DFE"/>
    <w:rsid w:val="002874ED"/>
    <w:rsid w:val="00287D99"/>
    <w:rsid w:val="00291492"/>
    <w:rsid w:val="002A1159"/>
    <w:rsid w:val="002A1B45"/>
    <w:rsid w:val="002A3F57"/>
    <w:rsid w:val="002A69C7"/>
    <w:rsid w:val="002A7260"/>
    <w:rsid w:val="002B076A"/>
    <w:rsid w:val="002B1B90"/>
    <w:rsid w:val="002B7681"/>
    <w:rsid w:val="002C0EA5"/>
    <w:rsid w:val="002C1ECB"/>
    <w:rsid w:val="002C2F0E"/>
    <w:rsid w:val="002C3CE6"/>
    <w:rsid w:val="002C5131"/>
    <w:rsid w:val="002C728F"/>
    <w:rsid w:val="002D099B"/>
    <w:rsid w:val="002D245E"/>
    <w:rsid w:val="002D2EEB"/>
    <w:rsid w:val="002D7500"/>
    <w:rsid w:val="002E1A6E"/>
    <w:rsid w:val="002E5B65"/>
    <w:rsid w:val="002E6B85"/>
    <w:rsid w:val="002E718F"/>
    <w:rsid w:val="002F02F6"/>
    <w:rsid w:val="002F37E9"/>
    <w:rsid w:val="002F38DF"/>
    <w:rsid w:val="002F644B"/>
    <w:rsid w:val="00300EF9"/>
    <w:rsid w:val="0030240D"/>
    <w:rsid w:val="003034D6"/>
    <w:rsid w:val="0031032C"/>
    <w:rsid w:val="00311121"/>
    <w:rsid w:val="00312E37"/>
    <w:rsid w:val="003142E0"/>
    <w:rsid w:val="003150CF"/>
    <w:rsid w:val="00315318"/>
    <w:rsid w:val="003207A6"/>
    <w:rsid w:val="00324341"/>
    <w:rsid w:val="003272CE"/>
    <w:rsid w:val="003303E3"/>
    <w:rsid w:val="00331B5E"/>
    <w:rsid w:val="00332A05"/>
    <w:rsid w:val="00333B93"/>
    <w:rsid w:val="00334748"/>
    <w:rsid w:val="00334ACB"/>
    <w:rsid w:val="00335DCB"/>
    <w:rsid w:val="00341D16"/>
    <w:rsid w:val="0034204C"/>
    <w:rsid w:val="003443AE"/>
    <w:rsid w:val="0034446F"/>
    <w:rsid w:val="00347C98"/>
    <w:rsid w:val="00352676"/>
    <w:rsid w:val="003577AD"/>
    <w:rsid w:val="003622E2"/>
    <w:rsid w:val="0036652B"/>
    <w:rsid w:val="00366C02"/>
    <w:rsid w:val="00371A84"/>
    <w:rsid w:val="003722FE"/>
    <w:rsid w:val="00373203"/>
    <w:rsid w:val="00373397"/>
    <w:rsid w:val="00373B4A"/>
    <w:rsid w:val="00373F7C"/>
    <w:rsid w:val="00375E76"/>
    <w:rsid w:val="003772DF"/>
    <w:rsid w:val="00382C20"/>
    <w:rsid w:val="00382F21"/>
    <w:rsid w:val="00382F8B"/>
    <w:rsid w:val="003839CE"/>
    <w:rsid w:val="003861FD"/>
    <w:rsid w:val="0038719E"/>
    <w:rsid w:val="00387680"/>
    <w:rsid w:val="003909A1"/>
    <w:rsid w:val="00391B13"/>
    <w:rsid w:val="003940A0"/>
    <w:rsid w:val="00394250"/>
    <w:rsid w:val="003A2084"/>
    <w:rsid w:val="003A365E"/>
    <w:rsid w:val="003A59F8"/>
    <w:rsid w:val="003A6B58"/>
    <w:rsid w:val="003B3B24"/>
    <w:rsid w:val="003B5EDA"/>
    <w:rsid w:val="003C2185"/>
    <w:rsid w:val="003C2DA0"/>
    <w:rsid w:val="003C7209"/>
    <w:rsid w:val="003D493E"/>
    <w:rsid w:val="003D65FD"/>
    <w:rsid w:val="003D6D12"/>
    <w:rsid w:val="003D6F89"/>
    <w:rsid w:val="003D7302"/>
    <w:rsid w:val="003E1167"/>
    <w:rsid w:val="003E15E6"/>
    <w:rsid w:val="003E3E8D"/>
    <w:rsid w:val="003E5FA7"/>
    <w:rsid w:val="003F0448"/>
    <w:rsid w:val="003F2644"/>
    <w:rsid w:val="003F3E71"/>
    <w:rsid w:val="003F6598"/>
    <w:rsid w:val="003F65A4"/>
    <w:rsid w:val="003F7CB7"/>
    <w:rsid w:val="004001AE"/>
    <w:rsid w:val="00404EE0"/>
    <w:rsid w:val="004060AE"/>
    <w:rsid w:val="00412DD6"/>
    <w:rsid w:val="004145C1"/>
    <w:rsid w:val="00414A7E"/>
    <w:rsid w:val="00420903"/>
    <w:rsid w:val="00421167"/>
    <w:rsid w:val="004227D9"/>
    <w:rsid w:val="004253A9"/>
    <w:rsid w:val="004259C0"/>
    <w:rsid w:val="00427BCF"/>
    <w:rsid w:val="00432E57"/>
    <w:rsid w:val="00432F82"/>
    <w:rsid w:val="00437B04"/>
    <w:rsid w:val="00441620"/>
    <w:rsid w:val="00441710"/>
    <w:rsid w:val="00442D38"/>
    <w:rsid w:val="00443FF6"/>
    <w:rsid w:val="0044550E"/>
    <w:rsid w:val="00446E5D"/>
    <w:rsid w:val="004525D8"/>
    <w:rsid w:val="00456531"/>
    <w:rsid w:val="004567A1"/>
    <w:rsid w:val="00457A66"/>
    <w:rsid w:val="00460268"/>
    <w:rsid w:val="004624EF"/>
    <w:rsid w:val="004629F0"/>
    <w:rsid w:val="004640E6"/>
    <w:rsid w:val="00475E0C"/>
    <w:rsid w:val="00477735"/>
    <w:rsid w:val="004853D7"/>
    <w:rsid w:val="00487C23"/>
    <w:rsid w:val="00492054"/>
    <w:rsid w:val="00492FF0"/>
    <w:rsid w:val="00494BE1"/>
    <w:rsid w:val="004A0193"/>
    <w:rsid w:val="004A2D90"/>
    <w:rsid w:val="004A3ED2"/>
    <w:rsid w:val="004A4772"/>
    <w:rsid w:val="004A4F81"/>
    <w:rsid w:val="004A726F"/>
    <w:rsid w:val="004A7693"/>
    <w:rsid w:val="004B00F8"/>
    <w:rsid w:val="004B2B39"/>
    <w:rsid w:val="004C1455"/>
    <w:rsid w:val="004D3736"/>
    <w:rsid w:val="004D45B8"/>
    <w:rsid w:val="004D4DA1"/>
    <w:rsid w:val="004E15EA"/>
    <w:rsid w:val="004E2D66"/>
    <w:rsid w:val="004E3833"/>
    <w:rsid w:val="004F05CF"/>
    <w:rsid w:val="004F0E94"/>
    <w:rsid w:val="004F117B"/>
    <w:rsid w:val="004F269B"/>
    <w:rsid w:val="004F292A"/>
    <w:rsid w:val="004F2A54"/>
    <w:rsid w:val="004F4C34"/>
    <w:rsid w:val="004F7AB7"/>
    <w:rsid w:val="004F7CBA"/>
    <w:rsid w:val="00515E24"/>
    <w:rsid w:val="0052172D"/>
    <w:rsid w:val="00522219"/>
    <w:rsid w:val="00522963"/>
    <w:rsid w:val="005251B9"/>
    <w:rsid w:val="0052607D"/>
    <w:rsid w:val="00541C43"/>
    <w:rsid w:val="0054392C"/>
    <w:rsid w:val="00543DA1"/>
    <w:rsid w:val="00544680"/>
    <w:rsid w:val="00546953"/>
    <w:rsid w:val="00546980"/>
    <w:rsid w:val="00550BDE"/>
    <w:rsid w:val="00556130"/>
    <w:rsid w:val="005564EA"/>
    <w:rsid w:val="00565E72"/>
    <w:rsid w:val="00570763"/>
    <w:rsid w:val="00571325"/>
    <w:rsid w:val="005742CB"/>
    <w:rsid w:val="00575415"/>
    <w:rsid w:val="005766AB"/>
    <w:rsid w:val="0058144F"/>
    <w:rsid w:val="0058468F"/>
    <w:rsid w:val="005850E7"/>
    <w:rsid w:val="005875A5"/>
    <w:rsid w:val="00587762"/>
    <w:rsid w:val="0059165F"/>
    <w:rsid w:val="005942F5"/>
    <w:rsid w:val="00596655"/>
    <w:rsid w:val="0059739F"/>
    <w:rsid w:val="005979AD"/>
    <w:rsid w:val="005A2E77"/>
    <w:rsid w:val="005A5F2A"/>
    <w:rsid w:val="005B33A8"/>
    <w:rsid w:val="005D2AE0"/>
    <w:rsid w:val="005E11FC"/>
    <w:rsid w:val="005E7FC4"/>
    <w:rsid w:val="005F2A7A"/>
    <w:rsid w:val="0060069A"/>
    <w:rsid w:val="00600CCE"/>
    <w:rsid w:val="00601C17"/>
    <w:rsid w:val="00604A91"/>
    <w:rsid w:val="00605EC1"/>
    <w:rsid w:val="006111BD"/>
    <w:rsid w:val="006111E5"/>
    <w:rsid w:val="006120F1"/>
    <w:rsid w:val="006131CE"/>
    <w:rsid w:val="00614CDA"/>
    <w:rsid w:val="00617940"/>
    <w:rsid w:val="00617D12"/>
    <w:rsid w:val="006206C8"/>
    <w:rsid w:val="00626056"/>
    <w:rsid w:val="00627FFC"/>
    <w:rsid w:val="00630105"/>
    <w:rsid w:val="006314A2"/>
    <w:rsid w:val="00634730"/>
    <w:rsid w:val="006374A2"/>
    <w:rsid w:val="00642B03"/>
    <w:rsid w:val="00643FCB"/>
    <w:rsid w:val="00647841"/>
    <w:rsid w:val="00651A1B"/>
    <w:rsid w:val="006548BC"/>
    <w:rsid w:val="00660996"/>
    <w:rsid w:val="00661690"/>
    <w:rsid w:val="0066189D"/>
    <w:rsid w:val="00665DDC"/>
    <w:rsid w:val="00666668"/>
    <w:rsid w:val="00672BBF"/>
    <w:rsid w:val="0067383F"/>
    <w:rsid w:val="0067634B"/>
    <w:rsid w:val="00680101"/>
    <w:rsid w:val="00684DAD"/>
    <w:rsid w:val="00686411"/>
    <w:rsid w:val="00690B7D"/>
    <w:rsid w:val="00691672"/>
    <w:rsid w:val="006916B0"/>
    <w:rsid w:val="00691E39"/>
    <w:rsid w:val="00692E70"/>
    <w:rsid w:val="00696F2D"/>
    <w:rsid w:val="006A04B1"/>
    <w:rsid w:val="006A33E5"/>
    <w:rsid w:val="006A3416"/>
    <w:rsid w:val="006A4C36"/>
    <w:rsid w:val="006A5AB7"/>
    <w:rsid w:val="006A5F9D"/>
    <w:rsid w:val="006A6080"/>
    <w:rsid w:val="006B1849"/>
    <w:rsid w:val="006B4080"/>
    <w:rsid w:val="006D0F20"/>
    <w:rsid w:val="006D1545"/>
    <w:rsid w:val="006D21B1"/>
    <w:rsid w:val="006D384E"/>
    <w:rsid w:val="006D3C3C"/>
    <w:rsid w:val="006D579B"/>
    <w:rsid w:val="006D64C5"/>
    <w:rsid w:val="006E244A"/>
    <w:rsid w:val="006E3F94"/>
    <w:rsid w:val="006E432D"/>
    <w:rsid w:val="006E5F67"/>
    <w:rsid w:val="006E6330"/>
    <w:rsid w:val="006E663C"/>
    <w:rsid w:val="006E6EDD"/>
    <w:rsid w:val="006E76E8"/>
    <w:rsid w:val="006E7CB2"/>
    <w:rsid w:val="006F1323"/>
    <w:rsid w:val="006F2294"/>
    <w:rsid w:val="006F7E9D"/>
    <w:rsid w:val="00703485"/>
    <w:rsid w:val="00706E21"/>
    <w:rsid w:val="007072D1"/>
    <w:rsid w:val="00707FE5"/>
    <w:rsid w:val="00711598"/>
    <w:rsid w:val="00711EE4"/>
    <w:rsid w:val="00712936"/>
    <w:rsid w:val="00713C07"/>
    <w:rsid w:val="007145F2"/>
    <w:rsid w:val="0071669B"/>
    <w:rsid w:val="00717FCD"/>
    <w:rsid w:val="007210F5"/>
    <w:rsid w:val="007231A6"/>
    <w:rsid w:val="0072382D"/>
    <w:rsid w:val="007247A9"/>
    <w:rsid w:val="00727B54"/>
    <w:rsid w:val="00742BED"/>
    <w:rsid w:val="0074638F"/>
    <w:rsid w:val="007500BB"/>
    <w:rsid w:val="0075262C"/>
    <w:rsid w:val="00753CDC"/>
    <w:rsid w:val="0076114F"/>
    <w:rsid w:val="00761A19"/>
    <w:rsid w:val="00762DD5"/>
    <w:rsid w:val="0077036C"/>
    <w:rsid w:val="00771155"/>
    <w:rsid w:val="00776790"/>
    <w:rsid w:val="00776E7B"/>
    <w:rsid w:val="007771BC"/>
    <w:rsid w:val="00781072"/>
    <w:rsid w:val="007813AE"/>
    <w:rsid w:val="00783007"/>
    <w:rsid w:val="00783B0F"/>
    <w:rsid w:val="00783C26"/>
    <w:rsid w:val="00786A53"/>
    <w:rsid w:val="007871E0"/>
    <w:rsid w:val="00790CFF"/>
    <w:rsid w:val="0079311F"/>
    <w:rsid w:val="007A0846"/>
    <w:rsid w:val="007A4912"/>
    <w:rsid w:val="007A56EF"/>
    <w:rsid w:val="007A6725"/>
    <w:rsid w:val="007B488C"/>
    <w:rsid w:val="007B4B6C"/>
    <w:rsid w:val="007B5FCE"/>
    <w:rsid w:val="007B646D"/>
    <w:rsid w:val="007D6E8D"/>
    <w:rsid w:val="007E199D"/>
    <w:rsid w:val="007E36D8"/>
    <w:rsid w:val="007E5354"/>
    <w:rsid w:val="007E54A2"/>
    <w:rsid w:val="007E564E"/>
    <w:rsid w:val="007F0173"/>
    <w:rsid w:val="007F0702"/>
    <w:rsid w:val="007F1024"/>
    <w:rsid w:val="007F4013"/>
    <w:rsid w:val="007F79D4"/>
    <w:rsid w:val="00812A95"/>
    <w:rsid w:val="00817525"/>
    <w:rsid w:val="00817B9D"/>
    <w:rsid w:val="0082087F"/>
    <w:rsid w:val="008211D4"/>
    <w:rsid w:val="00822E7B"/>
    <w:rsid w:val="0082303C"/>
    <w:rsid w:val="00840DBA"/>
    <w:rsid w:val="008443A5"/>
    <w:rsid w:val="008458D2"/>
    <w:rsid w:val="00847468"/>
    <w:rsid w:val="008474AB"/>
    <w:rsid w:val="00851C82"/>
    <w:rsid w:val="008529DA"/>
    <w:rsid w:val="008627DA"/>
    <w:rsid w:val="00863320"/>
    <w:rsid w:val="0086348B"/>
    <w:rsid w:val="008650E9"/>
    <w:rsid w:val="00866E17"/>
    <w:rsid w:val="00867AEA"/>
    <w:rsid w:val="0087561F"/>
    <w:rsid w:val="00875F57"/>
    <w:rsid w:val="00876683"/>
    <w:rsid w:val="008779D9"/>
    <w:rsid w:val="008837AE"/>
    <w:rsid w:val="00883BE6"/>
    <w:rsid w:val="00890776"/>
    <w:rsid w:val="00891A88"/>
    <w:rsid w:val="00896068"/>
    <w:rsid w:val="008A1074"/>
    <w:rsid w:val="008A25F2"/>
    <w:rsid w:val="008B1AC5"/>
    <w:rsid w:val="008B2388"/>
    <w:rsid w:val="008B3B5E"/>
    <w:rsid w:val="008B7835"/>
    <w:rsid w:val="008B796E"/>
    <w:rsid w:val="008C1A22"/>
    <w:rsid w:val="008C1B94"/>
    <w:rsid w:val="008C1C45"/>
    <w:rsid w:val="008C2CB7"/>
    <w:rsid w:val="008C2E2D"/>
    <w:rsid w:val="008C3222"/>
    <w:rsid w:val="008C5CC1"/>
    <w:rsid w:val="008C6B3A"/>
    <w:rsid w:val="008D38A9"/>
    <w:rsid w:val="008D3E78"/>
    <w:rsid w:val="008D406F"/>
    <w:rsid w:val="008D58B1"/>
    <w:rsid w:val="008D6DC9"/>
    <w:rsid w:val="008F0ABC"/>
    <w:rsid w:val="008F1139"/>
    <w:rsid w:val="008F3FF3"/>
    <w:rsid w:val="008F454F"/>
    <w:rsid w:val="008F4C65"/>
    <w:rsid w:val="00903258"/>
    <w:rsid w:val="009050DE"/>
    <w:rsid w:val="009103C5"/>
    <w:rsid w:val="0091248C"/>
    <w:rsid w:val="00912C7E"/>
    <w:rsid w:val="00920D1E"/>
    <w:rsid w:val="009211D1"/>
    <w:rsid w:val="00924D29"/>
    <w:rsid w:val="009273E2"/>
    <w:rsid w:val="00931D58"/>
    <w:rsid w:val="00941164"/>
    <w:rsid w:val="0094187E"/>
    <w:rsid w:val="00942040"/>
    <w:rsid w:val="00942BF4"/>
    <w:rsid w:val="00944F75"/>
    <w:rsid w:val="00945DDD"/>
    <w:rsid w:val="00950A61"/>
    <w:rsid w:val="00955376"/>
    <w:rsid w:val="009568E0"/>
    <w:rsid w:val="00957415"/>
    <w:rsid w:val="00957B5D"/>
    <w:rsid w:val="0096387B"/>
    <w:rsid w:val="00963E42"/>
    <w:rsid w:val="00963F3A"/>
    <w:rsid w:val="00964EBE"/>
    <w:rsid w:val="00971073"/>
    <w:rsid w:val="00972441"/>
    <w:rsid w:val="00973C0A"/>
    <w:rsid w:val="009758C7"/>
    <w:rsid w:val="00980EBF"/>
    <w:rsid w:val="009831F3"/>
    <w:rsid w:val="009838DC"/>
    <w:rsid w:val="00985106"/>
    <w:rsid w:val="009854AB"/>
    <w:rsid w:val="00986B63"/>
    <w:rsid w:val="009871B9"/>
    <w:rsid w:val="00993C28"/>
    <w:rsid w:val="00995EA3"/>
    <w:rsid w:val="00996154"/>
    <w:rsid w:val="00997599"/>
    <w:rsid w:val="009A4C30"/>
    <w:rsid w:val="009A5EE1"/>
    <w:rsid w:val="009A76E5"/>
    <w:rsid w:val="009B1433"/>
    <w:rsid w:val="009B71D8"/>
    <w:rsid w:val="009B778F"/>
    <w:rsid w:val="009C08CA"/>
    <w:rsid w:val="009C1F08"/>
    <w:rsid w:val="009D06B9"/>
    <w:rsid w:val="009D1549"/>
    <w:rsid w:val="009D2517"/>
    <w:rsid w:val="009D3331"/>
    <w:rsid w:val="009D48EB"/>
    <w:rsid w:val="009E0B08"/>
    <w:rsid w:val="009E1EBA"/>
    <w:rsid w:val="009E1F19"/>
    <w:rsid w:val="009E1FCD"/>
    <w:rsid w:val="009E333D"/>
    <w:rsid w:val="009F2435"/>
    <w:rsid w:val="009F2832"/>
    <w:rsid w:val="009F28E2"/>
    <w:rsid w:val="009F2BE9"/>
    <w:rsid w:val="009F3873"/>
    <w:rsid w:val="009F5F7E"/>
    <w:rsid w:val="009F6876"/>
    <w:rsid w:val="00A04C44"/>
    <w:rsid w:val="00A06290"/>
    <w:rsid w:val="00A06A8F"/>
    <w:rsid w:val="00A06D13"/>
    <w:rsid w:val="00A06E72"/>
    <w:rsid w:val="00A113AB"/>
    <w:rsid w:val="00A113D0"/>
    <w:rsid w:val="00A139AC"/>
    <w:rsid w:val="00A140A9"/>
    <w:rsid w:val="00A14564"/>
    <w:rsid w:val="00A24851"/>
    <w:rsid w:val="00A264BE"/>
    <w:rsid w:val="00A3028F"/>
    <w:rsid w:val="00A31F41"/>
    <w:rsid w:val="00A37396"/>
    <w:rsid w:val="00A40B84"/>
    <w:rsid w:val="00A417BA"/>
    <w:rsid w:val="00A41D52"/>
    <w:rsid w:val="00A43170"/>
    <w:rsid w:val="00A436CD"/>
    <w:rsid w:val="00A50C8B"/>
    <w:rsid w:val="00A51795"/>
    <w:rsid w:val="00A51D49"/>
    <w:rsid w:val="00A51DB3"/>
    <w:rsid w:val="00A544B7"/>
    <w:rsid w:val="00A561AD"/>
    <w:rsid w:val="00A611F8"/>
    <w:rsid w:val="00A6171E"/>
    <w:rsid w:val="00A61777"/>
    <w:rsid w:val="00A630F1"/>
    <w:rsid w:val="00A635F5"/>
    <w:rsid w:val="00A64875"/>
    <w:rsid w:val="00A6647E"/>
    <w:rsid w:val="00A70628"/>
    <w:rsid w:val="00A715EB"/>
    <w:rsid w:val="00A7524C"/>
    <w:rsid w:val="00A75BD6"/>
    <w:rsid w:val="00A77DF8"/>
    <w:rsid w:val="00A8405D"/>
    <w:rsid w:val="00A87AD7"/>
    <w:rsid w:val="00A91352"/>
    <w:rsid w:val="00A91DA9"/>
    <w:rsid w:val="00A94051"/>
    <w:rsid w:val="00A94EEC"/>
    <w:rsid w:val="00A96189"/>
    <w:rsid w:val="00A96C88"/>
    <w:rsid w:val="00A97404"/>
    <w:rsid w:val="00AA07BB"/>
    <w:rsid w:val="00AA202E"/>
    <w:rsid w:val="00AA32C3"/>
    <w:rsid w:val="00AA3ACB"/>
    <w:rsid w:val="00AA3CFB"/>
    <w:rsid w:val="00AB1208"/>
    <w:rsid w:val="00AB1681"/>
    <w:rsid w:val="00AB23ED"/>
    <w:rsid w:val="00AB4521"/>
    <w:rsid w:val="00AB5E05"/>
    <w:rsid w:val="00AB6C8E"/>
    <w:rsid w:val="00AB7441"/>
    <w:rsid w:val="00AC5B16"/>
    <w:rsid w:val="00AC5D11"/>
    <w:rsid w:val="00AC5D24"/>
    <w:rsid w:val="00AD0934"/>
    <w:rsid w:val="00AD23E5"/>
    <w:rsid w:val="00AD2484"/>
    <w:rsid w:val="00AD59CE"/>
    <w:rsid w:val="00AD5DDF"/>
    <w:rsid w:val="00AD67EB"/>
    <w:rsid w:val="00AD6831"/>
    <w:rsid w:val="00AD6AA8"/>
    <w:rsid w:val="00AD7E57"/>
    <w:rsid w:val="00AE0914"/>
    <w:rsid w:val="00AE4A4C"/>
    <w:rsid w:val="00AE4CAA"/>
    <w:rsid w:val="00AF1AE3"/>
    <w:rsid w:val="00AF2918"/>
    <w:rsid w:val="00AF5474"/>
    <w:rsid w:val="00B00053"/>
    <w:rsid w:val="00B0083F"/>
    <w:rsid w:val="00B010D3"/>
    <w:rsid w:val="00B015A7"/>
    <w:rsid w:val="00B017BA"/>
    <w:rsid w:val="00B01B93"/>
    <w:rsid w:val="00B01F01"/>
    <w:rsid w:val="00B04E10"/>
    <w:rsid w:val="00B07344"/>
    <w:rsid w:val="00B106BB"/>
    <w:rsid w:val="00B1382D"/>
    <w:rsid w:val="00B14514"/>
    <w:rsid w:val="00B16502"/>
    <w:rsid w:val="00B16B46"/>
    <w:rsid w:val="00B20CFD"/>
    <w:rsid w:val="00B20EE9"/>
    <w:rsid w:val="00B255E0"/>
    <w:rsid w:val="00B259D9"/>
    <w:rsid w:val="00B2647C"/>
    <w:rsid w:val="00B32DD9"/>
    <w:rsid w:val="00B361A5"/>
    <w:rsid w:val="00B3709D"/>
    <w:rsid w:val="00B40682"/>
    <w:rsid w:val="00B459B9"/>
    <w:rsid w:val="00B53BA7"/>
    <w:rsid w:val="00B60EF3"/>
    <w:rsid w:val="00B60F3F"/>
    <w:rsid w:val="00B61B2F"/>
    <w:rsid w:val="00B7013A"/>
    <w:rsid w:val="00B75004"/>
    <w:rsid w:val="00B75D3C"/>
    <w:rsid w:val="00B76A7B"/>
    <w:rsid w:val="00B76AE3"/>
    <w:rsid w:val="00B80A84"/>
    <w:rsid w:val="00B823DA"/>
    <w:rsid w:val="00B829CD"/>
    <w:rsid w:val="00B84183"/>
    <w:rsid w:val="00B869ED"/>
    <w:rsid w:val="00B9037E"/>
    <w:rsid w:val="00B91908"/>
    <w:rsid w:val="00B9415D"/>
    <w:rsid w:val="00BA4D69"/>
    <w:rsid w:val="00BA7C34"/>
    <w:rsid w:val="00BB0B0A"/>
    <w:rsid w:val="00BB66C8"/>
    <w:rsid w:val="00BC3357"/>
    <w:rsid w:val="00BC4E77"/>
    <w:rsid w:val="00BC5BBF"/>
    <w:rsid w:val="00BC653F"/>
    <w:rsid w:val="00BC6CAE"/>
    <w:rsid w:val="00BD1D87"/>
    <w:rsid w:val="00BD52C6"/>
    <w:rsid w:val="00BD7991"/>
    <w:rsid w:val="00BD7BEA"/>
    <w:rsid w:val="00BE034F"/>
    <w:rsid w:val="00BE376D"/>
    <w:rsid w:val="00BE468A"/>
    <w:rsid w:val="00BE5203"/>
    <w:rsid w:val="00BE6763"/>
    <w:rsid w:val="00BE73F4"/>
    <w:rsid w:val="00BF18AD"/>
    <w:rsid w:val="00BF1C8D"/>
    <w:rsid w:val="00C039AF"/>
    <w:rsid w:val="00C0799E"/>
    <w:rsid w:val="00C10D70"/>
    <w:rsid w:val="00C116C8"/>
    <w:rsid w:val="00C1188C"/>
    <w:rsid w:val="00C11986"/>
    <w:rsid w:val="00C1611D"/>
    <w:rsid w:val="00C229CA"/>
    <w:rsid w:val="00C22AF8"/>
    <w:rsid w:val="00C25345"/>
    <w:rsid w:val="00C25E5B"/>
    <w:rsid w:val="00C27347"/>
    <w:rsid w:val="00C27766"/>
    <w:rsid w:val="00C30DF0"/>
    <w:rsid w:val="00C3222D"/>
    <w:rsid w:val="00C36D7A"/>
    <w:rsid w:val="00C4175B"/>
    <w:rsid w:val="00C46BC4"/>
    <w:rsid w:val="00C50719"/>
    <w:rsid w:val="00C51D51"/>
    <w:rsid w:val="00C53A0D"/>
    <w:rsid w:val="00C561FD"/>
    <w:rsid w:val="00C60F4C"/>
    <w:rsid w:val="00C6550F"/>
    <w:rsid w:val="00C665CC"/>
    <w:rsid w:val="00C70C11"/>
    <w:rsid w:val="00C7153F"/>
    <w:rsid w:val="00C727C3"/>
    <w:rsid w:val="00C736FE"/>
    <w:rsid w:val="00C773A2"/>
    <w:rsid w:val="00C7781E"/>
    <w:rsid w:val="00C802F6"/>
    <w:rsid w:val="00C80FAB"/>
    <w:rsid w:val="00C8789D"/>
    <w:rsid w:val="00C9133B"/>
    <w:rsid w:val="00C95676"/>
    <w:rsid w:val="00C96A85"/>
    <w:rsid w:val="00CA1377"/>
    <w:rsid w:val="00CA2042"/>
    <w:rsid w:val="00CA2588"/>
    <w:rsid w:val="00CA4AF3"/>
    <w:rsid w:val="00CB3432"/>
    <w:rsid w:val="00CB57E9"/>
    <w:rsid w:val="00CB5962"/>
    <w:rsid w:val="00CB5F2B"/>
    <w:rsid w:val="00CB7240"/>
    <w:rsid w:val="00CC2A37"/>
    <w:rsid w:val="00CC3354"/>
    <w:rsid w:val="00CC5ECC"/>
    <w:rsid w:val="00CD05C2"/>
    <w:rsid w:val="00CD6D4E"/>
    <w:rsid w:val="00CD7AE3"/>
    <w:rsid w:val="00CD7D7E"/>
    <w:rsid w:val="00CE1C5A"/>
    <w:rsid w:val="00CE2D36"/>
    <w:rsid w:val="00CE3536"/>
    <w:rsid w:val="00CE4F94"/>
    <w:rsid w:val="00CE7EF2"/>
    <w:rsid w:val="00CF02C8"/>
    <w:rsid w:val="00CF1A75"/>
    <w:rsid w:val="00CF6132"/>
    <w:rsid w:val="00D00C23"/>
    <w:rsid w:val="00D021FF"/>
    <w:rsid w:val="00D0765C"/>
    <w:rsid w:val="00D112EE"/>
    <w:rsid w:val="00D12A9C"/>
    <w:rsid w:val="00D156C6"/>
    <w:rsid w:val="00D16275"/>
    <w:rsid w:val="00D17685"/>
    <w:rsid w:val="00D24752"/>
    <w:rsid w:val="00D24C13"/>
    <w:rsid w:val="00D268AC"/>
    <w:rsid w:val="00D26CD5"/>
    <w:rsid w:val="00D336D3"/>
    <w:rsid w:val="00D33AC7"/>
    <w:rsid w:val="00D34BFD"/>
    <w:rsid w:val="00D34E7A"/>
    <w:rsid w:val="00D36938"/>
    <w:rsid w:val="00D36B99"/>
    <w:rsid w:val="00D40AE5"/>
    <w:rsid w:val="00D4214C"/>
    <w:rsid w:val="00D446CF"/>
    <w:rsid w:val="00D50E73"/>
    <w:rsid w:val="00D5309C"/>
    <w:rsid w:val="00D53619"/>
    <w:rsid w:val="00D56523"/>
    <w:rsid w:val="00D61203"/>
    <w:rsid w:val="00D634C6"/>
    <w:rsid w:val="00D70FAF"/>
    <w:rsid w:val="00D750B6"/>
    <w:rsid w:val="00D8153A"/>
    <w:rsid w:val="00D81C02"/>
    <w:rsid w:val="00D822A6"/>
    <w:rsid w:val="00D857EA"/>
    <w:rsid w:val="00D86082"/>
    <w:rsid w:val="00DA1D21"/>
    <w:rsid w:val="00DA455F"/>
    <w:rsid w:val="00DA4936"/>
    <w:rsid w:val="00DB0DB0"/>
    <w:rsid w:val="00DB28D4"/>
    <w:rsid w:val="00DB40AD"/>
    <w:rsid w:val="00DB7B4E"/>
    <w:rsid w:val="00DC0EBF"/>
    <w:rsid w:val="00DC31E2"/>
    <w:rsid w:val="00DD0FAA"/>
    <w:rsid w:val="00DD1537"/>
    <w:rsid w:val="00DD4025"/>
    <w:rsid w:val="00DD5A04"/>
    <w:rsid w:val="00DD72C7"/>
    <w:rsid w:val="00DD72CA"/>
    <w:rsid w:val="00DE2F26"/>
    <w:rsid w:val="00DE307E"/>
    <w:rsid w:val="00DE32EF"/>
    <w:rsid w:val="00DE7818"/>
    <w:rsid w:val="00DF77E0"/>
    <w:rsid w:val="00E005D9"/>
    <w:rsid w:val="00E006DA"/>
    <w:rsid w:val="00E0191D"/>
    <w:rsid w:val="00E02DD0"/>
    <w:rsid w:val="00E03434"/>
    <w:rsid w:val="00E04A65"/>
    <w:rsid w:val="00E05492"/>
    <w:rsid w:val="00E075A7"/>
    <w:rsid w:val="00E0782F"/>
    <w:rsid w:val="00E21B98"/>
    <w:rsid w:val="00E236D3"/>
    <w:rsid w:val="00E27377"/>
    <w:rsid w:val="00E3194F"/>
    <w:rsid w:val="00E32C11"/>
    <w:rsid w:val="00E36165"/>
    <w:rsid w:val="00E37581"/>
    <w:rsid w:val="00E42262"/>
    <w:rsid w:val="00E43886"/>
    <w:rsid w:val="00E43ECD"/>
    <w:rsid w:val="00E5061A"/>
    <w:rsid w:val="00E5140E"/>
    <w:rsid w:val="00E5354E"/>
    <w:rsid w:val="00E55008"/>
    <w:rsid w:val="00E57991"/>
    <w:rsid w:val="00E64309"/>
    <w:rsid w:val="00E65206"/>
    <w:rsid w:val="00E65515"/>
    <w:rsid w:val="00E6772D"/>
    <w:rsid w:val="00E71592"/>
    <w:rsid w:val="00E71731"/>
    <w:rsid w:val="00E818DB"/>
    <w:rsid w:val="00E94A52"/>
    <w:rsid w:val="00EA13EF"/>
    <w:rsid w:val="00EA43CD"/>
    <w:rsid w:val="00EB1EEB"/>
    <w:rsid w:val="00EB23C4"/>
    <w:rsid w:val="00EB2C4F"/>
    <w:rsid w:val="00EB43CA"/>
    <w:rsid w:val="00EB5496"/>
    <w:rsid w:val="00EB569A"/>
    <w:rsid w:val="00EC030F"/>
    <w:rsid w:val="00EC24D3"/>
    <w:rsid w:val="00EC7A22"/>
    <w:rsid w:val="00EC7D70"/>
    <w:rsid w:val="00ED2702"/>
    <w:rsid w:val="00ED4C26"/>
    <w:rsid w:val="00ED53ED"/>
    <w:rsid w:val="00ED6F56"/>
    <w:rsid w:val="00EE20D0"/>
    <w:rsid w:val="00EE2509"/>
    <w:rsid w:val="00EE2949"/>
    <w:rsid w:val="00EE5618"/>
    <w:rsid w:val="00EE58C9"/>
    <w:rsid w:val="00EE5DF5"/>
    <w:rsid w:val="00EF2712"/>
    <w:rsid w:val="00EF3926"/>
    <w:rsid w:val="00EF59AB"/>
    <w:rsid w:val="00EF7687"/>
    <w:rsid w:val="00F02271"/>
    <w:rsid w:val="00F04A20"/>
    <w:rsid w:val="00F050D3"/>
    <w:rsid w:val="00F06169"/>
    <w:rsid w:val="00F07D16"/>
    <w:rsid w:val="00F102EE"/>
    <w:rsid w:val="00F12073"/>
    <w:rsid w:val="00F122CF"/>
    <w:rsid w:val="00F14855"/>
    <w:rsid w:val="00F15849"/>
    <w:rsid w:val="00F21697"/>
    <w:rsid w:val="00F21949"/>
    <w:rsid w:val="00F219A1"/>
    <w:rsid w:val="00F22487"/>
    <w:rsid w:val="00F27889"/>
    <w:rsid w:val="00F326F2"/>
    <w:rsid w:val="00F336AC"/>
    <w:rsid w:val="00F408D3"/>
    <w:rsid w:val="00F444FD"/>
    <w:rsid w:val="00F44999"/>
    <w:rsid w:val="00F4740E"/>
    <w:rsid w:val="00F51897"/>
    <w:rsid w:val="00F53014"/>
    <w:rsid w:val="00F544B4"/>
    <w:rsid w:val="00F572D3"/>
    <w:rsid w:val="00F607F4"/>
    <w:rsid w:val="00F7081B"/>
    <w:rsid w:val="00F71A25"/>
    <w:rsid w:val="00F71C89"/>
    <w:rsid w:val="00F73229"/>
    <w:rsid w:val="00F73AEE"/>
    <w:rsid w:val="00F77BDC"/>
    <w:rsid w:val="00F815C6"/>
    <w:rsid w:val="00F820BE"/>
    <w:rsid w:val="00F82282"/>
    <w:rsid w:val="00F84607"/>
    <w:rsid w:val="00F85B9F"/>
    <w:rsid w:val="00F9243E"/>
    <w:rsid w:val="00F952E9"/>
    <w:rsid w:val="00F958A2"/>
    <w:rsid w:val="00FA582D"/>
    <w:rsid w:val="00FB0642"/>
    <w:rsid w:val="00FB097E"/>
    <w:rsid w:val="00FB75CC"/>
    <w:rsid w:val="00FC0B8D"/>
    <w:rsid w:val="00FC5A4B"/>
    <w:rsid w:val="00FC5EBD"/>
    <w:rsid w:val="00FC6B80"/>
    <w:rsid w:val="00FC7F2D"/>
    <w:rsid w:val="00FD1FB6"/>
    <w:rsid w:val="00FD6BDB"/>
    <w:rsid w:val="00FE432B"/>
    <w:rsid w:val="00FE498C"/>
    <w:rsid w:val="00FE71A1"/>
    <w:rsid w:val="00FE75FE"/>
    <w:rsid w:val="00FF2200"/>
    <w:rsid w:val="00FF3C66"/>
    <w:rsid w:val="0DB6F6C9"/>
    <w:rsid w:val="0FF71B63"/>
    <w:rsid w:val="12AEBBA8"/>
    <w:rsid w:val="14BD33A3"/>
    <w:rsid w:val="16D4FED4"/>
    <w:rsid w:val="17ED34F2"/>
    <w:rsid w:val="1B7F98AB"/>
    <w:rsid w:val="1BEFC13F"/>
    <w:rsid w:val="1EC979A8"/>
    <w:rsid w:val="1F3E197C"/>
    <w:rsid w:val="1F6F06AC"/>
    <w:rsid w:val="1FBFF520"/>
    <w:rsid w:val="1FF58D5A"/>
    <w:rsid w:val="23F73D0D"/>
    <w:rsid w:val="243E03A1"/>
    <w:rsid w:val="277F759B"/>
    <w:rsid w:val="2C3DC17D"/>
    <w:rsid w:val="2CF8744C"/>
    <w:rsid w:val="2D659AAA"/>
    <w:rsid w:val="2EBF27E8"/>
    <w:rsid w:val="2ED7C927"/>
    <w:rsid w:val="2F7ED45D"/>
    <w:rsid w:val="2FDD8EC9"/>
    <w:rsid w:val="2FF83D5F"/>
    <w:rsid w:val="33ECEF9C"/>
    <w:rsid w:val="34BF95B7"/>
    <w:rsid w:val="34FDD938"/>
    <w:rsid w:val="35FFB9A9"/>
    <w:rsid w:val="35FFED40"/>
    <w:rsid w:val="377E7C0C"/>
    <w:rsid w:val="37E97C28"/>
    <w:rsid w:val="37F9A5B1"/>
    <w:rsid w:val="37FE515A"/>
    <w:rsid w:val="37FF2AED"/>
    <w:rsid w:val="39EE8955"/>
    <w:rsid w:val="3B7F42D7"/>
    <w:rsid w:val="3CF3D9B5"/>
    <w:rsid w:val="3D5F4357"/>
    <w:rsid w:val="3E3F081B"/>
    <w:rsid w:val="3E3F20EF"/>
    <w:rsid w:val="3E3F99A5"/>
    <w:rsid w:val="3EB19FC8"/>
    <w:rsid w:val="3EE6642E"/>
    <w:rsid w:val="3EEB3B83"/>
    <w:rsid w:val="3EFB372C"/>
    <w:rsid w:val="3EFC145E"/>
    <w:rsid w:val="3F7F8194"/>
    <w:rsid w:val="3FB8E1B8"/>
    <w:rsid w:val="3FDAA2F0"/>
    <w:rsid w:val="3FE072DD"/>
    <w:rsid w:val="3FFE32CD"/>
    <w:rsid w:val="3FFF051E"/>
    <w:rsid w:val="3FFF3EAA"/>
    <w:rsid w:val="3FFFD0F3"/>
    <w:rsid w:val="47ED95DD"/>
    <w:rsid w:val="49EE0C52"/>
    <w:rsid w:val="4DADD19F"/>
    <w:rsid w:val="4DFF2FF8"/>
    <w:rsid w:val="4E6D4A98"/>
    <w:rsid w:val="4F1D9CEC"/>
    <w:rsid w:val="53692E18"/>
    <w:rsid w:val="55E9D040"/>
    <w:rsid w:val="56B375CD"/>
    <w:rsid w:val="57BB43CD"/>
    <w:rsid w:val="57FE47C3"/>
    <w:rsid w:val="5929948F"/>
    <w:rsid w:val="5BB53679"/>
    <w:rsid w:val="5DCF07FC"/>
    <w:rsid w:val="5DDD7369"/>
    <w:rsid w:val="5DEC3D14"/>
    <w:rsid w:val="5DFEA418"/>
    <w:rsid w:val="5DFF2AD2"/>
    <w:rsid w:val="5E636479"/>
    <w:rsid w:val="5E7FE7CD"/>
    <w:rsid w:val="5EFB5CB8"/>
    <w:rsid w:val="5EFF05A4"/>
    <w:rsid w:val="5F7F10C2"/>
    <w:rsid w:val="5FDB9A55"/>
    <w:rsid w:val="5FF71C41"/>
    <w:rsid w:val="5FFA1DFF"/>
    <w:rsid w:val="5FFAF780"/>
    <w:rsid w:val="5FFFE3BC"/>
    <w:rsid w:val="63B9BABE"/>
    <w:rsid w:val="66BC8762"/>
    <w:rsid w:val="66E586AA"/>
    <w:rsid w:val="67E34856"/>
    <w:rsid w:val="67FF24E4"/>
    <w:rsid w:val="6B676E58"/>
    <w:rsid w:val="6DEBF3A5"/>
    <w:rsid w:val="6F6D6F7C"/>
    <w:rsid w:val="6F77E583"/>
    <w:rsid w:val="6FB7A045"/>
    <w:rsid w:val="6FD73AFF"/>
    <w:rsid w:val="6FD76C13"/>
    <w:rsid w:val="6FDDD9F8"/>
    <w:rsid w:val="6FEED575"/>
    <w:rsid w:val="725BDF7C"/>
    <w:rsid w:val="73DE5DE7"/>
    <w:rsid w:val="74BECF27"/>
    <w:rsid w:val="74F66CC6"/>
    <w:rsid w:val="75A77B56"/>
    <w:rsid w:val="76FE4AD7"/>
    <w:rsid w:val="77DF4534"/>
    <w:rsid w:val="77F3298B"/>
    <w:rsid w:val="77F363D9"/>
    <w:rsid w:val="77F64A4D"/>
    <w:rsid w:val="77F718EB"/>
    <w:rsid w:val="79DD351D"/>
    <w:rsid w:val="7A6F9EB8"/>
    <w:rsid w:val="7ABF243D"/>
    <w:rsid w:val="7AC68338"/>
    <w:rsid w:val="7B51D196"/>
    <w:rsid w:val="7B531059"/>
    <w:rsid w:val="7B5F55B2"/>
    <w:rsid w:val="7B74854F"/>
    <w:rsid w:val="7B7F595F"/>
    <w:rsid w:val="7BAC19DE"/>
    <w:rsid w:val="7BBB3B22"/>
    <w:rsid w:val="7BBDA7AD"/>
    <w:rsid w:val="7BD5932C"/>
    <w:rsid w:val="7BFBC109"/>
    <w:rsid w:val="7CAF255E"/>
    <w:rsid w:val="7CFD47ED"/>
    <w:rsid w:val="7CFE125C"/>
    <w:rsid w:val="7CFF491D"/>
    <w:rsid w:val="7D0799A2"/>
    <w:rsid w:val="7D576EC8"/>
    <w:rsid w:val="7D8C8097"/>
    <w:rsid w:val="7D9EED41"/>
    <w:rsid w:val="7DF52D0B"/>
    <w:rsid w:val="7DFDC5AF"/>
    <w:rsid w:val="7EDFC02B"/>
    <w:rsid w:val="7EF69F30"/>
    <w:rsid w:val="7EF95DEF"/>
    <w:rsid w:val="7EFD3744"/>
    <w:rsid w:val="7EFE9CB6"/>
    <w:rsid w:val="7EFEEC10"/>
    <w:rsid w:val="7F0FEB3E"/>
    <w:rsid w:val="7F7333AA"/>
    <w:rsid w:val="7F7A77D4"/>
    <w:rsid w:val="7F7F5D96"/>
    <w:rsid w:val="7F974B2B"/>
    <w:rsid w:val="7F9B91A5"/>
    <w:rsid w:val="7FAF24F9"/>
    <w:rsid w:val="7FBF476D"/>
    <w:rsid w:val="7FDBC269"/>
    <w:rsid w:val="7FDDDCDD"/>
    <w:rsid w:val="7FDF0FD5"/>
    <w:rsid w:val="7FED95F1"/>
    <w:rsid w:val="7FEEE5E9"/>
    <w:rsid w:val="7FEFA511"/>
    <w:rsid w:val="7FEFE45C"/>
    <w:rsid w:val="7FF77913"/>
    <w:rsid w:val="7FF7B339"/>
    <w:rsid w:val="7FFA0F73"/>
    <w:rsid w:val="7FFF31F2"/>
    <w:rsid w:val="7FFF5CAB"/>
    <w:rsid w:val="7FFFD8B5"/>
    <w:rsid w:val="7FFFE8AB"/>
    <w:rsid w:val="873E3B52"/>
    <w:rsid w:val="8CDF81FB"/>
    <w:rsid w:val="8F7FDD86"/>
    <w:rsid w:val="94AF0530"/>
    <w:rsid w:val="95FF16FA"/>
    <w:rsid w:val="97EF7DC3"/>
    <w:rsid w:val="9AFF9D91"/>
    <w:rsid w:val="9E354A2C"/>
    <w:rsid w:val="9E5C4026"/>
    <w:rsid w:val="9F16C382"/>
    <w:rsid w:val="9F5E47DF"/>
    <w:rsid w:val="9FF69C51"/>
    <w:rsid w:val="9FFB4013"/>
    <w:rsid w:val="A5DBCACA"/>
    <w:rsid w:val="ABFA4065"/>
    <w:rsid w:val="ABFFEFC9"/>
    <w:rsid w:val="AC57B00B"/>
    <w:rsid w:val="AEFE5FD5"/>
    <w:rsid w:val="AF77ABAC"/>
    <w:rsid w:val="AFFD4E9B"/>
    <w:rsid w:val="B1794795"/>
    <w:rsid w:val="B463B6D6"/>
    <w:rsid w:val="B4FF580C"/>
    <w:rsid w:val="B6F748BA"/>
    <w:rsid w:val="B7BF29BE"/>
    <w:rsid w:val="B7DF3F54"/>
    <w:rsid w:val="B98FC103"/>
    <w:rsid w:val="BABAF58C"/>
    <w:rsid w:val="BAF5604A"/>
    <w:rsid w:val="BBF79BF0"/>
    <w:rsid w:val="BCB3591D"/>
    <w:rsid w:val="BEBEE28D"/>
    <w:rsid w:val="BEFA1D74"/>
    <w:rsid w:val="BF7F5660"/>
    <w:rsid w:val="BF9BED37"/>
    <w:rsid w:val="BFB704A0"/>
    <w:rsid w:val="BFD0276A"/>
    <w:rsid w:val="BFDB32BB"/>
    <w:rsid w:val="BFDDB7EB"/>
    <w:rsid w:val="BFEF04C7"/>
    <w:rsid w:val="BFEFDD9D"/>
    <w:rsid w:val="BFF7747D"/>
    <w:rsid w:val="C67B47CC"/>
    <w:rsid w:val="C77E26AB"/>
    <w:rsid w:val="CB0F4052"/>
    <w:rsid w:val="CD7F618A"/>
    <w:rsid w:val="CDAC32FE"/>
    <w:rsid w:val="CDCEC173"/>
    <w:rsid w:val="CFBB1A1A"/>
    <w:rsid w:val="CFDA49E5"/>
    <w:rsid w:val="D3917C8C"/>
    <w:rsid w:val="D5EEF66D"/>
    <w:rsid w:val="D7B9C1B6"/>
    <w:rsid w:val="D7F7CC34"/>
    <w:rsid w:val="D7FF992B"/>
    <w:rsid w:val="D7FF9FF9"/>
    <w:rsid w:val="DBADC853"/>
    <w:rsid w:val="DBFD4955"/>
    <w:rsid w:val="DDAC99C6"/>
    <w:rsid w:val="DDCF8483"/>
    <w:rsid w:val="DEEBB1DE"/>
    <w:rsid w:val="DEF45C67"/>
    <w:rsid w:val="DF8FEE92"/>
    <w:rsid w:val="DFB5202D"/>
    <w:rsid w:val="DFBB7819"/>
    <w:rsid w:val="DFCEF2AA"/>
    <w:rsid w:val="DFDF09AF"/>
    <w:rsid w:val="DFF5AA6B"/>
    <w:rsid w:val="DFFFF6B4"/>
    <w:rsid w:val="E6DBBA95"/>
    <w:rsid w:val="E6FE3BEA"/>
    <w:rsid w:val="E6FF3B20"/>
    <w:rsid w:val="E9337622"/>
    <w:rsid w:val="E969008C"/>
    <w:rsid w:val="EA5DF239"/>
    <w:rsid w:val="EA77F986"/>
    <w:rsid w:val="EB764D56"/>
    <w:rsid w:val="EC7FCB38"/>
    <w:rsid w:val="ECFF4CF7"/>
    <w:rsid w:val="EE3D044E"/>
    <w:rsid w:val="EE7DD35A"/>
    <w:rsid w:val="EF3B15E6"/>
    <w:rsid w:val="EF7B6018"/>
    <w:rsid w:val="EFB3072B"/>
    <w:rsid w:val="EFEF4098"/>
    <w:rsid w:val="EFFF2E8C"/>
    <w:rsid w:val="EFFF650F"/>
    <w:rsid w:val="EFFFF753"/>
    <w:rsid w:val="F1FA0101"/>
    <w:rsid w:val="F377DF61"/>
    <w:rsid w:val="F37F89D0"/>
    <w:rsid w:val="F55BD53E"/>
    <w:rsid w:val="F573A63B"/>
    <w:rsid w:val="F5F757ED"/>
    <w:rsid w:val="F61FB7C4"/>
    <w:rsid w:val="F63EE6CD"/>
    <w:rsid w:val="F66FE357"/>
    <w:rsid w:val="F69F775D"/>
    <w:rsid w:val="F6D6010F"/>
    <w:rsid w:val="F7172296"/>
    <w:rsid w:val="F73BFCBC"/>
    <w:rsid w:val="F77D6C52"/>
    <w:rsid w:val="F7929F45"/>
    <w:rsid w:val="F79AE252"/>
    <w:rsid w:val="F7BF44B8"/>
    <w:rsid w:val="F7BFCD0B"/>
    <w:rsid w:val="F7DBE25E"/>
    <w:rsid w:val="F7DF3F4D"/>
    <w:rsid w:val="F7F5CCB5"/>
    <w:rsid w:val="F7FF762E"/>
    <w:rsid w:val="F7FFB64D"/>
    <w:rsid w:val="F93F7FFD"/>
    <w:rsid w:val="F99FC1B1"/>
    <w:rsid w:val="F9D10616"/>
    <w:rsid w:val="FAAB9E9B"/>
    <w:rsid w:val="FABD7688"/>
    <w:rsid w:val="FAD6664E"/>
    <w:rsid w:val="FC5E7F8B"/>
    <w:rsid w:val="FCAE38BB"/>
    <w:rsid w:val="FCCFA5D3"/>
    <w:rsid w:val="FCEF081E"/>
    <w:rsid w:val="FCF3BEC6"/>
    <w:rsid w:val="FD3FC61C"/>
    <w:rsid w:val="FD3FF565"/>
    <w:rsid w:val="FD87B293"/>
    <w:rsid w:val="FDC9A5EA"/>
    <w:rsid w:val="FDDBEECD"/>
    <w:rsid w:val="FDFCC331"/>
    <w:rsid w:val="FDFECD9F"/>
    <w:rsid w:val="FE35743F"/>
    <w:rsid w:val="FE736E66"/>
    <w:rsid w:val="FE75D548"/>
    <w:rsid w:val="FEC3CDA3"/>
    <w:rsid w:val="FEEFF009"/>
    <w:rsid w:val="FEFF23DE"/>
    <w:rsid w:val="FF3286BB"/>
    <w:rsid w:val="FF4ABFFE"/>
    <w:rsid w:val="FF6B3B75"/>
    <w:rsid w:val="FF7B4806"/>
    <w:rsid w:val="FF7FE4AB"/>
    <w:rsid w:val="FF94FC6A"/>
    <w:rsid w:val="FFABB2C2"/>
    <w:rsid w:val="FFB2C618"/>
    <w:rsid w:val="FFB579B7"/>
    <w:rsid w:val="FFBF1193"/>
    <w:rsid w:val="FFBF23D9"/>
    <w:rsid w:val="FFBF286E"/>
    <w:rsid w:val="FFCF4FB0"/>
    <w:rsid w:val="FFDEB46A"/>
    <w:rsid w:val="FFDF680F"/>
    <w:rsid w:val="FFDFCD68"/>
    <w:rsid w:val="FFEB90DC"/>
    <w:rsid w:val="FFEF7384"/>
    <w:rsid w:val="FFFBC315"/>
    <w:rsid w:val="FFFD0969"/>
    <w:rsid w:val="FFFF0677"/>
    <w:rsid w:val="FFFFD527"/>
    <w:rsid w:val="FFFFE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line="578" w:lineRule="auto"/>
      <w:jc w:val="center"/>
      <w:outlineLvl w:val="0"/>
    </w:pPr>
    <w:rPr>
      <w:b/>
      <w:bCs/>
      <w:kern w:val="44"/>
      <w:sz w:val="36"/>
      <w:szCs w:val="44"/>
    </w:rPr>
  </w:style>
  <w:style w:type="paragraph" w:styleId="3">
    <w:name w:val="heading 2"/>
    <w:basedOn w:val="1"/>
    <w:next w:val="1"/>
    <w:link w:val="18"/>
    <w:unhideWhenUsed/>
    <w:qFormat/>
    <w:uiPriority w:val="9"/>
    <w:pPr>
      <w:keepNext/>
      <w:keepLines/>
      <w:spacing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9"/>
    <w:qFormat/>
    <w:uiPriority w:val="0"/>
    <w:pPr>
      <w:spacing w:before="720" w:beforeAutospacing="1" w:after="720" w:afterAutospacing="1"/>
      <w:jc w:val="left"/>
      <w:outlineLvl w:val="2"/>
    </w:pPr>
    <w:rPr>
      <w:rFonts w:hint="eastAsia" w:ascii="宋体" w:hAnsi="宋体" w:eastAsia="宋体" w:cs="Times New Roman"/>
      <w:kern w:val="0"/>
      <w:sz w:val="28"/>
      <w:szCs w:val="27"/>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ind w:left="840" w:leftChars="400"/>
    </w:pPr>
  </w:style>
  <w:style w:type="paragraph" w:styleId="6">
    <w:name w:val="Date"/>
    <w:basedOn w:val="1"/>
    <w:next w:val="1"/>
    <w:link w:val="20"/>
    <w:unhideWhenUsed/>
    <w:qFormat/>
    <w:uiPriority w:val="99"/>
    <w:pPr>
      <w:ind w:left="100" w:leftChars="2500"/>
    </w:pPr>
  </w:style>
  <w:style w:type="paragraph" w:styleId="7">
    <w:name w:val="Balloon Text"/>
    <w:basedOn w:val="1"/>
    <w:link w:val="22"/>
    <w:unhideWhenUsed/>
    <w:qFormat/>
    <w:uiPriority w:val="99"/>
    <w:rPr>
      <w:sz w:val="18"/>
      <w:szCs w:val="18"/>
    </w:rPr>
  </w:style>
  <w:style w:type="paragraph" w:styleId="8">
    <w:name w:val="footer"/>
    <w:basedOn w:val="1"/>
    <w:link w:val="26"/>
    <w:unhideWhenUsed/>
    <w:qFormat/>
    <w:uiPriority w:val="99"/>
    <w:pPr>
      <w:tabs>
        <w:tab w:val="center" w:pos="4153"/>
        <w:tab w:val="right" w:pos="8306"/>
      </w:tabs>
      <w:snapToGrid w:val="0"/>
      <w:jc w:val="left"/>
    </w:pPr>
    <w:rPr>
      <w:sz w:val="18"/>
      <w:szCs w:val="18"/>
    </w:rPr>
  </w:style>
  <w:style w:type="paragraph" w:styleId="9">
    <w:name w:val="header"/>
    <w:basedOn w:val="1"/>
    <w:link w:val="25"/>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style>
  <w:style w:type="paragraph" w:styleId="11">
    <w:name w:val="toc 2"/>
    <w:basedOn w:val="1"/>
    <w:next w:val="1"/>
    <w:unhideWhenUsed/>
    <w:qFormat/>
    <w:uiPriority w:val="39"/>
    <w:pPr>
      <w:ind w:left="420" w:leftChars="200"/>
    </w:p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unhideWhenUsed/>
    <w:qFormat/>
    <w:uiPriority w:val="99"/>
    <w:rPr>
      <w:color w:val="0000FF" w:themeColor="hyperlink"/>
      <w:u w:val="single"/>
      <w14:textFill>
        <w14:solidFill>
          <w14:schemeClr w14:val="hlink"/>
        </w14:solidFill>
      </w14:textFill>
    </w:rPr>
  </w:style>
  <w:style w:type="paragraph" w:customStyle="1" w:styleId="16">
    <w:name w:val="Body text|1"/>
    <w:basedOn w:val="1"/>
    <w:qFormat/>
    <w:uiPriority w:val="0"/>
    <w:pPr>
      <w:spacing w:line="360" w:lineRule="auto"/>
      <w:ind w:firstLine="400"/>
    </w:pPr>
    <w:rPr>
      <w:rFonts w:ascii="宋体" w:hAnsi="宋体" w:eastAsia="宋体" w:cs="宋体"/>
      <w:sz w:val="19"/>
      <w:szCs w:val="19"/>
      <w:lang w:val="zh-TW" w:eastAsia="zh-TW" w:bidi="zh-TW"/>
    </w:rPr>
  </w:style>
  <w:style w:type="character" w:customStyle="1" w:styleId="17">
    <w:name w:val="标题 1 字符"/>
    <w:basedOn w:val="14"/>
    <w:link w:val="2"/>
    <w:qFormat/>
    <w:uiPriority w:val="9"/>
    <w:rPr>
      <w:b/>
      <w:bCs/>
      <w:kern w:val="44"/>
      <w:sz w:val="36"/>
      <w:szCs w:val="44"/>
    </w:rPr>
  </w:style>
  <w:style w:type="character" w:customStyle="1" w:styleId="18">
    <w:name w:val="标题 2 字符"/>
    <w:basedOn w:val="14"/>
    <w:link w:val="3"/>
    <w:qFormat/>
    <w:uiPriority w:val="9"/>
    <w:rPr>
      <w:rFonts w:asciiTheme="majorHAnsi" w:hAnsiTheme="majorHAnsi" w:eastAsiaTheme="majorEastAsia" w:cstheme="majorBidi"/>
      <w:b/>
      <w:bCs/>
      <w:sz w:val="32"/>
      <w:szCs w:val="32"/>
    </w:rPr>
  </w:style>
  <w:style w:type="character" w:customStyle="1" w:styleId="19">
    <w:name w:val="标题 3 字符"/>
    <w:basedOn w:val="14"/>
    <w:link w:val="4"/>
    <w:qFormat/>
    <w:uiPriority w:val="0"/>
    <w:rPr>
      <w:rFonts w:ascii="宋体" w:hAnsi="宋体" w:eastAsia="宋体" w:cs="Times New Roman"/>
      <w:kern w:val="0"/>
      <w:sz w:val="28"/>
      <w:szCs w:val="27"/>
    </w:rPr>
  </w:style>
  <w:style w:type="character" w:customStyle="1" w:styleId="20">
    <w:name w:val="日期 字符"/>
    <w:basedOn w:val="14"/>
    <w:link w:val="6"/>
    <w:semiHidden/>
    <w:qFormat/>
    <w:uiPriority w:val="99"/>
  </w:style>
  <w:style w:type="paragraph" w:customStyle="1" w:styleId="21">
    <w:name w:val="TOC 标题1"/>
    <w:basedOn w:val="2"/>
    <w:next w:val="1"/>
    <w:unhideWhenUsed/>
    <w:qFormat/>
    <w:uiPriority w:val="39"/>
    <w:pPr>
      <w:widowControl/>
      <w:spacing w:before="48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2">
    <w:name w:val="批注框文本 字符"/>
    <w:basedOn w:val="14"/>
    <w:link w:val="7"/>
    <w:semiHidden/>
    <w:qFormat/>
    <w:uiPriority w:val="99"/>
    <w:rPr>
      <w:sz w:val="18"/>
      <w:szCs w:val="18"/>
    </w:rPr>
  </w:style>
  <w:style w:type="paragraph" w:customStyle="1" w:styleId="23">
    <w:name w:val="样式3"/>
    <w:basedOn w:val="1"/>
    <w:qFormat/>
    <w:uiPriority w:val="0"/>
    <w:pPr>
      <w:spacing w:line="300" w:lineRule="auto"/>
      <w:ind w:firstLine="420" w:firstLineChars="200"/>
      <w:jc w:val="center"/>
    </w:pPr>
    <w:rPr>
      <w:rFonts w:ascii="仿宋" w:hAnsi="仿宋" w:eastAsia="仿宋" w:cs="宋体"/>
      <w:b/>
      <w:szCs w:val="21"/>
    </w:rPr>
  </w:style>
  <w:style w:type="paragraph" w:customStyle="1" w:styleId="24">
    <w:name w:val="样式1"/>
    <w:basedOn w:val="1"/>
    <w:qFormat/>
    <w:uiPriority w:val="0"/>
    <w:rPr>
      <w:rFonts w:ascii="Times New Roman" w:hAnsi="Times New Roman" w:eastAsia="宋体" w:cs="Times New Roman"/>
      <w:szCs w:val="24"/>
    </w:rPr>
  </w:style>
  <w:style w:type="character" w:customStyle="1" w:styleId="25">
    <w:name w:val="页眉 字符"/>
    <w:basedOn w:val="14"/>
    <w:link w:val="9"/>
    <w:qFormat/>
    <w:uiPriority w:val="0"/>
    <w:rPr>
      <w:sz w:val="18"/>
      <w:szCs w:val="18"/>
    </w:rPr>
  </w:style>
  <w:style w:type="character" w:customStyle="1" w:styleId="26">
    <w:name w:val="页脚 字符"/>
    <w:basedOn w:val="14"/>
    <w:link w:val="8"/>
    <w:qFormat/>
    <w:uiPriority w:val="99"/>
    <w:rPr>
      <w:sz w:val="18"/>
      <w:szCs w:val="18"/>
    </w:rPr>
  </w:style>
  <w:style w:type="paragraph" w:customStyle="1" w:styleId="27">
    <w:name w:val="列出段落1"/>
    <w:basedOn w:val="1"/>
    <w:qFormat/>
    <w:uiPriority w:val="34"/>
    <w:pPr>
      <w:ind w:firstLine="420" w:firstLineChars="200"/>
    </w:pPr>
  </w:style>
  <w:style w:type="paragraph" w:styleId="28">
    <w:name w:val="List Paragraph"/>
    <w:basedOn w:val="1"/>
    <w:qFormat/>
    <w:uiPriority w:val="34"/>
    <w:rPr>
      <w:rFonts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9645</Words>
  <Characters>10088</Characters>
  <Lines>92</Lines>
  <Paragraphs>26</Paragraphs>
  <TotalTime>61</TotalTime>
  <ScaleCrop>false</ScaleCrop>
  <LinksUpToDate>false</LinksUpToDate>
  <CharactersWithSpaces>10249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2022-06-10T07:03:00Z</dcterms:created>
  <dc:creator>Administrator</dc:creator>
  <cp:lastModifiedBy>蔡中奇</cp:lastModifiedBy>
  <dcterms:modified xsi:type="dcterms:W3CDTF">2022-12-15T02:29:40Z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AE36E3C240F746449B633D82707AAB76</vt:lpwstr>
  </property>
</Properties>
</file>