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DBC522">
      <w:pPr>
        <w:keepNext w:val="0"/>
        <w:keepLines w:val="0"/>
        <w:pageBreakBefore w:val="0"/>
        <w:widowControl w:val="0"/>
        <w:kinsoku w:val="0"/>
        <w:wordWrap/>
        <w:overflowPunct w:val="0"/>
        <w:topLinePunct w:val="0"/>
        <w:autoSpaceDE w:val="0"/>
        <w:autoSpaceDN w:val="0"/>
        <w:bidi w:val="0"/>
        <w:adjustRightInd w:val="0"/>
        <w:snapToGrid w:val="0"/>
        <w:spacing w:line="360" w:lineRule="auto"/>
        <w:ind w:left="0" w:firstLine="0" w:firstLineChars="0"/>
        <w:jc w:val="center"/>
        <w:textAlignment w:val="baseline"/>
        <w:outlineLvl w:val="0"/>
        <w:rPr>
          <w:rFonts w:hint="eastAsia" w:ascii="宋体" w:hAnsi="宋体" w:eastAsia="宋体" w:cs="宋体"/>
          <w:b/>
          <w:bCs/>
          <w:spacing w:val="-2"/>
          <w:sz w:val="36"/>
          <w:szCs w:val="36"/>
          <w:lang w:eastAsia="zh-CN"/>
        </w:rPr>
      </w:pPr>
    </w:p>
    <w:p w14:paraId="64CBE909">
      <w:pPr>
        <w:keepNext w:val="0"/>
        <w:keepLines w:val="0"/>
        <w:pageBreakBefore w:val="0"/>
        <w:widowControl w:val="0"/>
        <w:kinsoku w:val="0"/>
        <w:wordWrap/>
        <w:overflowPunct w:val="0"/>
        <w:topLinePunct w:val="0"/>
        <w:autoSpaceDE w:val="0"/>
        <w:autoSpaceDN w:val="0"/>
        <w:bidi w:val="0"/>
        <w:adjustRightInd w:val="0"/>
        <w:snapToGrid w:val="0"/>
        <w:spacing w:line="360" w:lineRule="auto"/>
        <w:ind w:left="0" w:firstLine="0" w:firstLineChars="0"/>
        <w:jc w:val="center"/>
        <w:textAlignment w:val="baseline"/>
        <w:outlineLvl w:val="0"/>
        <w:rPr>
          <w:rFonts w:hint="eastAsia" w:ascii="宋体" w:hAnsi="宋体" w:eastAsia="宋体" w:cs="宋体"/>
          <w:b/>
          <w:bCs/>
          <w:spacing w:val="-2"/>
          <w:sz w:val="36"/>
          <w:szCs w:val="36"/>
          <w:lang w:eastAsia="zh-CN"/>
        </w:rPr>
      </w:pPr>
    </w:p>
    <w:p w14:paraId="364220CE">
      <w:pPr>
        <w:jc w:val="center"/>
        <w:rPr>
          <w:rFonts w:eastAsia="华文中宋"/>
          <w:b/>
          <w:color w:val="FF0000"/>
          <w:spacing w:val="10"/>
          <w:sz w:val="56"/>
          <w:szCs w:val="56"/>
        </w:rPr>
      </w:pPr>
      <w:bookmarkStart w:id="0" w:name="文件红头"/>
      <w:r>
        <w:rPr>
          <w:rFonts w:eastAsia="华文中宋"/>
          <w:b/>
          <w:color w:val="FF0000"/>
          <w:spacing w:val="10"/>
          <w:sz w:val="56"/>
          <w:szCs w:val="56"/>
        </w:rPr>
        <w:t>上海电子信息职业技术学院文件</w:t>
      </w:r>
    </w:p>
    <w:bookmarkEnd w:id="0"/>
    <w:p w14:paraId="1CFF21B5">
      <w:pPr>
        <w:ind w:left="-317" w:leftChars="-200" w:right="-158" w:rightChars="-75" w:hanging="103" w:hangingChars="43"/>
        <w:jc w:val="center"/>
        <w:rPr>
          <w:sz w:val="24"/>
        </w:rPr>
      </w:pPr>
      <w:r>
        <w:rPr>
          <w:sz w:val="24"/>
        </w:rPr>
        <w:t xml:space="preserve"> </w:t>
      </w:r>
    </w:p>
    <w:p w14:paraId="65FE2857">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 xml:space="preserve">   </w:t>
      </w:r>
    </w:p>
    <w:p w14:paraId="4CE7BA9C">
      <w:pPr>
        <w:widowControl w:val="0"/>
        <w:kinsoku/>
        <w:autoSpaceDE/>
        <w:autoSpaceDN/>
        <w:adjustRightInd/>
        <w:snapToGrid/>
        <w:spacing w:beforeLines="50" w:line="240" w:lineRule="auto"/>
        <w:jc w:val="center"/>
        <w:textAlignment w:val="auto"/>
        <w:rPr>
          <w:rFonts w:ascii="仿宋" w:hAnsi="仿宋" w:eastAsia="仿宋" w:cs="仿宋"/>
          <w:snapToGrid/>
          <w:kern w:val="0"/>
          <w:sz w:val="32"/>
          <w:szCs w:val="32"/>
          <w:lang w:val="zh-CN" w:eastAsia="zh-CN" w:bidi="zh-CN"/>
        </w:rPr>
      </w:pPr>
      <w:bookmarkStart w:id="1" w:name="文件编号"/>
      <w:r>
        <w:rPr>
          <w:rFonts w:ascii="仿宋" w:hAnsi="仿宋" w:eastAsia="仿宋" w:cs="仿宋"/>
          <w:snapToGrid/>
          <w:kern w:val="0"/>
          <w:sz w:val="32"/>
          <w:szCs w:val="32"/>
          <w:lang w:val="zh-CN" w:eastAsia="zh-CN" w:bidi="zh-CN"/>
        </w:rPr>
        <w:t>沪电信职院〔20</w:t>
      </w:r>
      <w:r>
        <w:rPr>
          <w:rFonts w:hint="eastAsia" w:ascii="仿宋" w:hAnsi="仿宋" w:eastAsia="仿宋" w:cs="仿宋"/>
          <w:snapToGrid/>
          <w:kern w:val="0"/>
          <w:sz w:val="32"/>
          <w:szCs w:val="32"/>
          <w:lang w:val="en-US" w:eastAsia="zh-CN" w:bidi="zh-CN"/>
        </w:rPr>
        <w:t>25</w:t>
      </w:r>
      <w:r>
        <w:rPr>
          <w:rFonts w:ascii="仿宋" w:hAnsi="仿宋" w:eastAsia="仿宋" w:cs="仿宋"/>
          <w:snapToGrid/>
          <w:kern w:val="0"/>
          <w:sz w:val="32"/>
          <w:szCs w:val="32"/>
          <w:lang w:val="zh-CN" w:eastAsia="zh-CN" w:bidi="zh-CN"/>
        </w:rPr>
        <w:t>〕</w:t>
      </w:r>
      <w:r>
        <w:rPr>
          <w:rFonts w:hint="eastAsia" w:ascii="仿宋" w:hAnsi="仿宋" w:eastAsia="仿宋" w:cs="仿宋"/>
          <w:snapToGrid/>
          <w:kern w:val="0"/>
          <w:sz w:val="32"/>
          <w:szCs w:val="32"/>
          <w:lang w:val="en-US" w:eastAsia="zh-CN" w:bidi="zh-CN"/>
        </w:rPr>
        <w:t>25</w:t>
      </w:r>
      <w:r>
        <w:rPr>
          <w:rFonts w:ascii="仿宋" w:hAnsi="仿宋" w:eastAsia="仿宋" w:cs="仿宋"/>
          <w:snapToGrid/>
          <w:kern w:val="0"/>
          <w:sz w:val="32"/>
          <w:szCs w:val="32"/>
          <w:lang w:val="zh-CN" w:eastAsia="zh-CN" w:bidi="zh-CN"/>
        </w:rPr>
        <w:t>号</w:t>
      </w:r>
      <w:bookmarkEnd w:id="1"/>
    </w:p>
    <w:p w14:paraId="328F1950">
      <w:pPr>
        <w:rPr>
          <w:rFonts w:ascii="黑体" w:hAnsi="黑体" w:eastAsia="黑体" w:cs="黑体"/>
          <w:spacing w:val="-39"/>
          <w:position w:val="15"/>
          <w:sz w:val="40"/>
          <w:szCs w:val="40"/>
        </w:rPr>
      </w:pPr>
      <w:r>
        <w:rPr>
          <w:rFonts w:eastAsia="黑体"/>
          <w:color w:val="FF0000"/>
          <w:sz w:val="28"/>
          <w:szCs w:val="28"/>
          <w:u w:val="thick"/>
        </w:rPr>
        <w:t xml:space="preserve">                                                              </w:t>
      </w:r>
      <w:r>
        <w:rPr>
          <w:rFonts w:hint="eastAsia" w:eastAsia="黑体"/>
          <w:color w:val="FF0000"/>
          <w:sz w:val="28"/>
          <w:szCs w:val="28"/>
          <w:u w:val="thick"/>
          <w:lang w:val="en-US" w:eastAsia="zh-CN"/>
        </w:rPr>
        <w:t xml:space="preserve">                                                     </w:t>
      </w:r>
    </w:p>
    <w:p w14:paraId="47289859">
      <w:pPr>
        <w:widowControl w:val="0"/>
        <w:kinsoku/>
        <w:autoSpaceDE/>
        <w:autoSpaceDN/>
        <w:adjustRightInd/>
        <w:snapToGrid/>
        <w:spacing w:before="312" w:beforeLines="100" w:after="312" w:afterLines="100" w:line="240" w:lineRule="auto"/>
        <w:jc w:val="center"/>
        <w:textAlignment w:val="auto"/>
        <w:outlineLvl w:val="0"/>
        <w:rPr>
          <w:rFonts w:hint="eastAsia" w:ascii="华文中宋" w:hAnsi="华文中宋" w:eastAsia="华文中宋" w:cs="华文中宋"/>
          <w:b/>
          <w:snapToGrid/>
          <w:color w:val="000000"/>
          <w:kern w:val="0"/>
          <w:sz w:val="36"/>
          <w:szCs w:val="36"/>
          <w:lang w:val="en-US" w:eastAsia="zh-CN" w:bidi="ar-SA"/>
        </w:rPr>
      </w:pPr>
      <w:r>
        <w:rPr>
          <w:rFonts w:hint="eastAsia" w:ascii="华文中宋" w:hAnsi="华文中宋" w:eastAsia="华文中宋" w:cs="华文中宋"/>
          <w:b/>
          <w:snapToGrid/>
          <w:color w:val="000000"/>
          <w:kern w:val="0"/>
          <w:sz w:val="36"/>
          <w:szCs w:val="36"/>
          <w:lang w:val="en-US" w:eastAsia="zh-CN" w:bidi="ar-SA"/>
        </w:rPr>
        <w:t>关于印发《上海电子信息职业技术学院大型仪器设备管理办法》的通知</w:t>
      </w:r>
    </w:p>
    <w:p w14:paraId="267289CA">
      <w:pPr>
        <w:spacing w:before="331" w:line="226" w:lineRule="auto"/>
        <w:ind w:left="36"/>
        <w:jc w:val="left"/>
        <w:rPr>
          <w:rFonts w:hint="eastAsia" w:ascii="仿宋" w:hAnsi="仿宋" w:eastAsia="仿宋" w:cs="仿宋"/>
          <w:snapToGrid/>
          <w:color w:val="333333"/>
          <w:kern w:val="0"/>
          <w:sz w:val="32"/>
          <w:szCs w:val="32"/>
          <w:lang w:val="zh-CN" w:eastAsia="zh-CN" w:bidi="zh-CN"/>
        </w:rPr>
      </w:pPr>
      <w:r>
        <w:rPr>
          <w:rFonts w:hint="eastAsia" w:ascii="仿宋" w:hAnsi="仿宋" w:eastAsia="仿宋" w:cs="仿宋"/>
          <w:snapToGrid/>
          <w:color w:val="333333"/>
          <w:kern w:val="0"/>
          <w:sz w:val="32"/>
          <w:szCs w:val="32"/>
          <w:lang w:val="zh-CN" w:eastAsia="zh-CN" w:bidi="zh-CN"/>
        </w:rPr>
        <w:t>各教学单位、职能部门：</w:t>
      </w:r>
    </w:p>
    <w:p w14:paraId="4733DE14">
      <w:pPr>
        <w:spacing w:before="331" w:line="226" w:lineRule="auto"/>
        <w:ind w:left="36"/>
        <w:jc w:val="left"/>
        <w:rPr>
          <w:rFonts w:hint="eastAsia" w:ascii="仿宋" w:hAnsi="仿宋" w:eastAsia="仿宋" w:cs="仿宋"/>
          <w:snapToGrid/>
          <w:color w:val="333333"/>
          <w:kern w:val="0"/>
          <w:sz w:val="32"/>
          <w:szCs w:val="32"/>
          <w:lang w:val="zh-CN" w:eastAsia="zh-CN" w:bidi="zh-CN"/>
        </w:rPr>
      </w:pPr>
      <w:r>
        <w:rPr>
          <w:rFonts w:hint="eastAsia" w:ascii="仿宋" w:hAnsi="仿宋" w:eastAsia="仿宋" w:cs="仿宋"/>
          <w:snapToGrid/>
          <w:color w:val="333333"/>
          <w:kern w:val="0"/>
          <w:sz w:val="32"/>
          <w:szCs w:val="32"/>
          <w:lang w:val="en-US" w:eastAsia="zh-CN" w:bidi="zh-CN"/>
        </w:rPr>
        <w:t xml:space="preserve">   </w:t>
      </w:r>
      <w:r>
        <w:rPr>
          <w:rFonts w:hint="eastAsia" w:ascii="仿宋" w:hAnsi="仿宋" w:eastAsia="仿宋" w:cs="仿宋"/>
          <w:snapToGrid/>
          <w:color w:val="333333"/>
          <w:kern w:val="0"/>
          <w:sz w:val="32"/>
          <w:szCs w:val="32"/>
          <w:lang w:val="zh-CN" w:eastAsia="zh-CN" w:bidi="zh-CN"/>
        </w:rPr>
        <w:t>现将《上海电子信息职业技术学院大型仪器设备管理办法》印发给你们，请结合本部门工作实际，认真研究执</w:t>
      </w:r>
      <w:r>
        <w:rPr>
          <w:rFonts w:hint="eastAsia" w:ascii="仿宋" w:hAnsi="仿宋" w:eastAsia="仿宋" w:cs="仿宋"/>
          <w:snapToGrid/>
          <w:color w:val="333333"/>
          <w:kern w:val="0"/>
          <w:sz w:val="32"/>
          <w:szCs w:val="32"/>
          <w:lang w:val="en-US" w:eastAsia="zh-CN" w:bidi="zh-CN"/>
        </w:rPr>
        <w:t>行</w:t>
      </w:r>
      <w:r>
        <w:rPr>
          <w:rFonts w:hint="eastAsia" w:ascii="仿宋" w:hAnsi="仿宋" w:eastAsia="仿宋" w:cs="仿宋"/>
          <w:snapToGrid/>
          <w:color w:val="333333"/>
          <w:kern w:val="0"/>
          <w:sz w:val="32"/>
          <w:szCs w:val="32"/>
          <w:lang w:val="zh-CN" w:eastAsia="zh-CN" w:bidi="zh-CN"/>
        </w:rPr>
        <w:t>。</w:t>
      </w:r>
      <w:r>
        <w:rPr>
          <w:rFonts w:hint="eastAsia" w:ascii="仿宋" w:hAnsi="仿宋" w:eastAsia="仿宋" w:cs="仿宋"/>
          <w:snapToGrid/>
          <w:color w:val="333333"/>
          <w:kern w:val="0"/>
          <w:sz w:val="32"/>
          <w:szCs w:val="32"/>
          <w:lang w:val="zh-CN" w:eastAsia="zh-CN" w:bidi="zh-CN"/>
        </w:rPr>
        <w:tab/>
      </w:r>
    </w:p>
    <w:p w14:paraId="0F6E3404">
      <w:pPr>
        <w:spacing w:before="331" w:line="226" w:lineRule="auto"/>
        <w:ind w:left="36" w:firstLine="640" w:firstLineChars="200"/>
        <w:jc w:val="left"/>
        <w:rPr>
          <w:rFonts w:hint="default" w:ascii="仿宋" w:hAnsi="仿宋" w:eastAsia="仿宋" w:cs="仿宋"/>
          <w:snapToGrid/>
          <w:color w:val="333333"/>
          <w:kern w:val="0"/>
          <w:sz w:val="32"/>
          <w:szCs w:val="32"/>
          <w:lang w:val="en-US" w:eastAsia="zh-CN" w:bidi="zh-CN"/>
        </w:rPr>
      </w:pPr>
      <w:r>
        <w:rPr>
          <w:rFonts w:hint="eastAsia" w:ascii="仿宋" w:hAnsi="仿宋" w:eastAsia="仿宋" w:cs="仿宋"/>
          <w:snapToGrid/>
          <w:color w:val="333333"/>
          <w:kern w:val="0"/>
          <w:sz w:val="32"/>
          <w:szCs w:val="32"/>
          <w:lang w:val="zh-CN" w:eastAsia="zh-CN" w:bidi="zh-CN"/>
        </w:rPr>
        <w:t>附件：上海电子信息职业技术学院大型仪器设备管理办法</w:t>
      </w:r>
    </w:p>
    <w:p w14:paraId="6E2F11F3">
      <w:pPr>
        <w:spacing w:before="331" w:line="226" w:lineRule="auto"/>
        <w:ind w:left="36"/>
        <w:jc w:val="left"/>
        <w:rPr>
          <w:rFonts w:hint="eastAsia" w:ascii="仿宋" w:hAnsi="仿宋" w:eastAsia="仿宋" w:cs="仿宋"/>
          <w:snapToGrid/>
          <w:color w:val="333333"/>
          <w:kern w:val="0"/>
          <w:sz w:val="32"/>
          <w:szCs w:val="32"/>
          <w:lang w:val="zh-CN" w:eastAsia="zh-CN" w:bidi="zh-CN"/>
        </w:rPr>
      </w:pPr>
    </w:p>
    <w:p w14:paraId="0FC6830C">
      <w:pPr>
        <w:spacing w:before="331" w:line="226" w:lineRule="auto"/>
        <w:ind w:left="36"/>
        <w:jc w:val="left"/>
        <w:rPr>
          <w:rFonts w:hint="eastAsia" w:ascii="仿宋" w:hAnsi="仿宋" w:eastAsia="仿宋" w:cs="仿宋"/>
          <w:snapToGrid/>
          <w:color w:val="333333"/>
          <w:kern w:val="0"/>
          <w:sz w:val="32"/>
          <w:szCs w:val="32"/>
          <w:lang w:val="zh-CN" w:eastAsia="zh-CN" w:bidi="zh-CN"/>
        </w:rPr>
      </w:pPr>
    </w:p>
    <w:p w14:paraId="79F01F1C">
      <w:pPr>
        <w:spacing w:before="331" w:line="226" w:lineRule="auto"/>
        <w:ind w:left="36"/>
        <w:jc w:val="left"/>
        <w:rPr>
          <w:rFonts w:hint="eastAsia" w:ascii="仿宋" w:hAnsi="仿宋" w:eastAsia="仿宋" w:cs="仿宋"/>
          <w:snapToGrid/>
          <w:color w:val="333333"/>
          <w:kern w:val="0"/>
          <w:sz w:val="32"/>
          <w:szCs w:val="32"/>
          <w:lang w:val="zh-CN" w:eastAsia="zh-CN" w:bidi="zh-CN"/>
        </w:rPr>
      </w:pPr>
    </w:p>
    <w:p w14:paraId="3F09DD47">
      <w:pPr>
        <w:spacing w:before="331" w:line="226" w:lineRule="auto"/>
        <w:ind w:left="36"/>
        <w:jc w:val="left"/>
        <w:rPr>
          <w:rFonts w:hint="eastAsia" w:ascii="仿宋" w:hAnsi="仿宋" w:eastAsia="仿宋" w:cs="仿宋"/>
          <w:snapToGrid/>
          <w:color w:val="333333"/>
          <w:kern w:val="0"/>
          <w:sz w:val="32"/>
          <w:szCs w:val="32"/>
          <w:lang w:val="zh-CN" w:eastAsia="zh-CN" w:bidi="zh-CN"/>
        </w:rPr>
      </w:pPr>
    </w:p>
    <w:p w14:paraId="088A36A7">
      <w:pPr>
        <w:spacing w:before="331" w:line="226" w:lineRule="auto"/>
        <w:ind w:left="36"/>
        <w:jc w:val="right"/>
        <w:rPr>
          <w:rFonts w:hint="eastAsia" w:ascii="仿宋" w:hAnsi="仿宋" w:eastAsia="仿宋" w:cs="仿宋"/>
          <w:snapToGrid/>
          <w:color w:val="333333"/>
          <w:kern w:val="0"/>
          <w:sz w:val="32"/>
          <w:szCs w:val="32"/>
          <w:lang w:val="zh-CN" w:eastAsia="zh-CN" w:bidi="zh-CN"/>
        </w:rPr>
      </w:pPr>
      <w:r>
        <w:rPr>
          <w:rFonts w:hint="eastAsia" w:ascii="仿宋" w:hAnsi="仿宋" w:eastAsia="仿宋" w:cs="仿宋"/>
          <w:snapToGrid/>
          <w:color w:val="333333"/>
          <w:kern w:val="0"/>
          <w:sz w:val="32"/>
          <w:szCs w:val="32"/>
          <w:lang w:val="zh-CN" w:eastAsia="zh-CN" w:bidi="zh-CN"/>
        </w:rPr>
        <w:t>上海电子信息职业技术学院</w:t>
      </w:r>
    </w:p>
    <w:p w14:paraId="1BD06AAC">
      <w:pPr>
        <w:spacing w:before="331" w:line="226" w:lineRule="auto"/>
        <w:ind w:left="36"/>
        <w:jc w:val="right"/>
        <w:rPr>
          <w:rFonts w:hint="eastAsia" w:ascii="仿宋" w:hAnsi="仿宋" w:eastAsia="仿宋" w:cs="仿宋"/>
          <w:snapToGrid/>
          <w:color w:val="333333"/>
          <w:kern w:val="0"/>
          <w:sz w:val="32"/>
          <w:szCs w:val="32"/>
          <w:lang w:val="zh-CN" w:eastAsia="zh-CN" w:bidi="zh-CN"/>
        </w:rPr>
      </w:pPr>
      <w:r>
        <w:rPr>
          <w:rFonts w:hint="eastAsia" w:ascii="仿宋" w:hAnsi="仿宋" w:eastAsia="仿宋" w:cs="仿宋"/>
          <w:snapToGrid/>
          <w:color w:val="333333"/>
          <w:kern w:val="0"/>
          <w:sz w:val="32"/>
          <w:szCs w:val="32"/>
          <w:lang w:val="zh-CN" w:eastAsia="zh-CN" w:bidi="zh-CN"/>
        </w:rPr>
        <w:t xml:space="preserve">                           </w:t>
      </w:r>
      <w:r>
        <w:rPr>
          <w:rFonts w:hint="eastAsia" w:ascii="仿宋" w:hAnsi="仿宋" w:eastAsia="仿宋" w:cs="仿宋"/>
          <w:snapToGrid/>
          <w:color w:val="333333"/>
          <w:kern w:val="0"/>
          <w:sz w:val="32"/>
          <w:szCs w:val="32"/>
          <w:lang w:val="en-US" w:eastAsia="zh-CN" w:bidi="zh-CN"/>
        </w:rPr>
        <w:t xml:space="preserve">  </w:t>
      </w:r>
      <w:r>
        <w:rPr>
          <w:rFonts w:hint="eastAsia" w:ascii="仿宋" w:hAnsi="仿宋" w:eastAsia="仿宋" w:cs="仿宋"/>
          <w:snapToGrid/>
          <w:color w:val="333333"/>
          <w:kern w:val="0"/>
          <w:sz w:val="32"/>
          <w:szCs w:val="32"/>
          <w:lang w:val="zh-CN" w:eastAsia="zh-CN" w:bidi="zh-CN"/>
        </w:rPr>
        <w:t xml:space="preserve"> 20</w:t>
      </w:r>
      <w:r>
        <w:rPr>
          <w:rFonts w:hint="eastAsia" w:ascii="仿宋" w:hAnsi="仿宋" w:eastAsia="仿宋" w:cs="仿宋"/>
          <w:snapToGrid/>
          <w:color w:val="333333"/>
          <w:kern w:val="0"/>
          <w:sz w:val="32"/>
          <w:szCs w:val="32"/>
          <w:lang w:val="en-US" w:eastAsia="zh-CN" w:bidi="zh-CN"/>
        </w:rPr>
        <w:t>25</w:t>
      </w:r>
      <w:r>
        <w:rPr>
          <w:rFonts w:hint="eastAsia" w:ascii="仿宋" w:hAnsi="仿宋" w:eastAsia="仿宋" w:cs="仿宋"/>
          <w:snapToGrid/>
          <w:color w:val="333333"/>
          <w:kern w:val="0"/>
          <w:sz w:val="32"/>
          <w:szCs w:val="32"/>
          <w:lang w:val="zh-CN" w:eastAsia="zh-CN" w:bidi="zh-CN"/>
        </w:rPr>
        <w:t>年</w:t>
      </w:r>
      <w:r>
        <w:rPr>
          <w:rFonts w:hint="eastAsia" w:ascii="仿宋" w:hAnsi="仿宋" w:eastAsia="仿宋" w:cs="仿宋"/>
          <w:snapToGrid/>
          <w:color w:val="333333"/>
          <w:kern w:val="0"/>
          <w:sz w:val="32"/>
          <w:szCs w:val="32"/>
          <w:lang w:val="en-US" w:eastAsia="zh-CN" w:bidi="zh-CN"/>
        </w:rPr>
        <w:t>4</w:t>
      </w:r>
      <w:r>
        <w:rPr>
          <w:rFonts w:hint="eastAsia" w:ascii="仿宋" w:hAnsi="仿宋" w:eastAsia="仿宋" w:cs="仿宋"/>
          <w:snapToGrid/>
          <w:color w:val="333333"/>
          <w:kern w:val="0"/>
          <w:sz w:val="32"/>
          <w:szCs w:val="32"/>
          <w:lang w:val="zh-CN" w:eastAsia="zh-CN" w:bidi="zh-CN"/>
        </w:rPr>
        <w:t>月</w:t>
      </w:r>
      <w:r>
        <w:rPr>
          <w:rFonts w:hint="eastAsia" w:ascii="仿宋" w:hAnsi="仿宋" w:eastAsia="仿宋" w:cs="仿宋"/>
          <w:snapToGrid/>
          <w:color w:val="333333"/>
          <w:kern w:val="0"/>
          <w:sz w:val="32"/>
          <w:szCs w:val="32"/>
          <w:lang w:val="en-US" w:eastAsia="zh-CN" w:bidi="zh-CN"/>
        </w:rPr>
        <w:t>16</w:t>
      </w:r>
      <w:r>
        <w:rPr>
          <w:rFonts w:hint="eastAsia" w:ascii="仿宋" w:hAnsi="仿宋" w:eastAsia="仿宋" w:cs="仿宋"/>
          <w:snapToGrid/>
          <w:color w:val="333333"/>
          <w:kern w:val="0"/>
          <w:sz w:val="32"/>
          <w:szCs w:val="32"/>
          <w:lang w:val="zh-CN" w:eastAsia="zh-CN" w:bidi="zh-CN"/>
        </w:rPr>
        <w:t>日</w:t>
      </w:r>
    </w:p>
    <w:p w14:paraId="00965435">
      <w:pPr>
        <w:keepNext w:val="0"/>
        <w:keepLines w:val="0"/>
        <w:pageBreakBefore w:val="0"/>
        <w:widowControl w:val="0"/>
        <w:kinsoku w:val="0"/>
        <w:wordWrap/>
        <w:overflowPunct w:val="0"/>
        <w:topLinePunct w:val="0"/>
        <w:autoSpaceDE w:val="0"/>
        <w:autoSpaceDN w:val="0"/>
        <w:bidi w:val="0"/>
        <w:adjustRightInd w:val="0"/>
        <w:snapToGrid w:val="0"/>
        <w:spacing w:line="360" w:lineRule="auto"/>
        <w:ind w:left="0" w:firstLine="0" w:firstLineChars="0"/>
        <w:jc w:val="both"/>
        <w:textAlignment w:val="baseline"/>
        <w:outlineLvl w:val="0"/>
        <w:rPr>
          <w:rFonts w:hint="eastAsia" w:ascii="宋体" w:hAnsi="宋体" w:eastAsia="宋体" w:cs="宋体"/>
          <w:b/>
          <w:bCs/>
          <w:spacing w:val="-2"/>
          <w:sz w:val="36"/>
          <w:szCs w:val="36"/>
          <w:lang w:val="en-US" w:eastAsia="zh-CN"/>
        </w:rPr>
      </w:pPr>
    </w:p>
    <w:p w14:paraId="7CD8FC4E">
      <w:pPr>
        <w:keepNext w:val="0"/>
        <w:keepLines w:val="0"/>
        <w:pageBreakBefore w:val="0"/>
        <w:widowControl w:val="0"/>
        <w:kinsoku w:val="0"/>
        <w:wordWrap/>
        <w:overflowPunct w:val="0"/>
        <w:topLinePunct w:val="0"/>
        <w:autoSpaceDE w:val="0"/>
        <w:autoSpaceDN w:val="0"/>
        <w:bidi w:val="0"/>
        <w:adjustRightInd w:val="0"/>
        <w:snapToGrid w:val="0"/>
        <w:spacing w:line="360" w:lineRule="auto"/>
        <w:ind w:left="0" w:firstLine="0" w:firstLineChars="0"/>
        <w:jc w:val="center"/>
        <w:textAlignment w:val="baseline"/>
        <w:outlineLvl w:val="0"/>
        <w:rPr>
          <w:rFonts w:hint="eastAsia" w:ascii="华文中宋" w:hAnsi="华文中宋" w:eastAsia="华文中宋" w:cs="华文中宋"/>
          <w:b/>
          <w:snapToGrid/>
          <w:color w:val="000000"/>
          <w:kern w:val="0"/>
          <w:sz w:val="36"/>
          <w:szCs w:val="36"/>
          <w:lang w:val="en-US" w:eastAsia="zh-CN" w:bidi="ar-SA"/>
        </w:rPr>
      </w:pPr>
      <w:r>
        <w:rPr>
          <w:rFonts w:hint="eastAsia" w:ascii="宋体" w:hAnsi="宋体" w:eastAsia="宋体" w:cs="宋体"/>
          <w:b/>
          <w:bCs/>
          <w:spacing w:val="-2"/>
          <w:sz w:val="36"/>
          <w:szCs w:val="36"/>
          <w:lang w:val="en-US" w:eastAsia="zh-CN"/>
        </w:rPr>
        <w:t xml:space="preserve">附件： </w:t>
      </w:r>
      <w:r>
        <w:rPr>
          <w:rFonts w:hint="eastAsia" w:ascii="华文中宋" w:hAnsi="华文中宋" w:eastAsia="华文中宋" w:cs="华文中宋"/>
          <w:b/>
          <w:snapToGrid/>
          <w:color w:val="000000"/>
          <w:kern w:val="0"/>
          <w:sz w:val="36"/>
          <w:szCs w:val="36"/>
          <w:lang w:val="en-US" w:eastAsia="zh-CN" w:bidi="ar-SA"/>
        </w:rPr>
        <w:t>上海电子信息职业技术学院大型仪器设备</w:t>
      </w:r>
    </w:p>
    <w:p w14:paraId="396FAC22">
      <w:pPr>
        <w:keepNext w:val="0"/>
        <w:keepLines w:val="0"/>
        <w:pageBreakBefore w:val="0"/>
        <w:widowControl w:val="0"/>
        <w:kinsoku w:val="0"/>
        <w:wordWrap/>
        <w:overflowPunct w:val="0"/>
        <w:topLinePunct w:val="0"/>
        <w:autoSpaceDE w:val="0"/>
        <w:autoSpaceDN w:val="0"/>
        <w:bidi w:val="0"/>
        <w:adjustRightInd w:val="0"/>
        <w:snapToGrid w:val="0"/>
        <w:spacing w:line="360" w:lineRule="auto"/>
        <w:ind w:left="0" w:firstLine="0" w:firstLineChars="0"/>
        <w:jc w:val="center"/>
        <w:textAlignment w:val="baseline"/>
        <w:outlineLvl w:val="0"/>
        <w:rPr>
          <w:rFonts w:hint="eastAsia" w:ascii="华文中宋" w:hAnsi="华文中宋" w:eastAsia="华文中宋" w:cs="华文中宋"/>
          <w:b/>
          <w:snapToGrid/>
          <w:color w:val="000000"/>
          <w:kern w:val="0"/>
          <w:sz w:val="36"/>
          <w:szCs w:val="36"/>
          <w:lang w:val="en-US" w:eastAsia="zh-CN" w:bidi="ar-SA"/>
        </w:rPr>
      </w:pPr>
      <w:r>
        <w:rPr>
          <w:rFonts w:hint="eastAsia" w:ascii="华文中宋" w:hAnsi="华文中宋" w:eastAsia="华文中宋" w:cs="华文中宋"/>
          <w:b/>
          <w:snapToGrid/>
          <w:color w:val="000000"/>
          <w:kern w:val="0"/>
          <w:sz w:val="36"/>
          <w:szCs w:val="36"/>
          <w:lang w:val="en-US" w:eastAsia="zh-CN" w:bidi="ar-SA"/>
        </w:rPr>
        <w:t>管理办法</w:t>
      </w:r>
    </w:p>
    <w:p w14:paraId="43349D8D">
      <w:pPr>
        <w:keepNext w:val="0"/>
        <w:keepLines w:val="0"/>
        <w:pageBreakBefore w:val="0"/>
        <w:widowControl w:val="0"/>
        <w:kinsoku w:val="0"/>
        <w:wordWrap/>
        <w:overflowPunct w:val="0"/>
        <w:topLinePunct w:val="0"/>
        <w:autoSpaceDE w:val="0"/>
        <w:autoSpaceDN w:val="0"/>
        <w:bidi w:val="0"/>
        <w:adjustRightInd w:val="0"/>
        <w:snapToGrid w:val="0"/>
        <w:spacing w:line="360" w:lineRule="auto"/>
        <w:ind w:left="0" w:firstLine="0" w:firstLineChars="0"/>
        <w:jc w:val="center"/>
        <w:textAlignment w:val="baseline"/>
        <w:outlineLvl w:val="0"/>
        <w:rPr>
          <w:rFonts w:hint="eastAsia" w:ascii="仿宋" w:hAnsi="仿宋" w:eastAsia="仿宋" w:cs="仿宋"/>
          <w:b/>
          <w:bCs/>
          <w:spacing w:val="25"/>
          <w:sz w:val="30"/>
          <w:szCs w:val="30"/>
        </w:rPr>
      </w:pPr>
      <w:r>
        <w:rPr>
          <w:rFonts w:hint="eastAsia" w:ascii="仿宋" w:hAnsi="仿宋" w:eastAsia="仿宋" w:cs="仿宋"/>
          <w:b/>
          <w:bCs/>
          <w:spacing w:val="25"/>
          <w:sz w:val="30"/>
          <w:szCs w:val="30"/>
        </w:rPr>
        <w:t>第一章  总 则</w:t>
      </w:r>
    </w:p>
    <w:p w14:paraId="741AF10C">
      <w:pPr>
        <w:keepNext w:val="0"/>
        <w:keepLines w:val="0"/>
        <w:pageBreakBefore w:val="0"/>
        <w:widowControl w:val="0"/>
        <w:kinsoku w:val="0"/>
        <w:wordWrap/>
        <w:overflowPunct w:val="0"/>
        <w:topLinePunct w:val="0"/>
        <w:autoSpaceDE w:val="0"/>
        <w:autoSpaceDN w:val="0"/>
        <w:bidi w:val="0"/>
        <w:adjustRightInd w:val="0"/>
        <w:snapToGrid w:val="0"/>
        <w:spacing w:line="360" w:lineRule="auto"/>
        <w:ind w:right="85" w:firstLine="626" w:firstLineChars="200"/>
        <w:jc w:val="both"/>
        <w:textAlignment w:val="baseline"/>
        <w:rPr>
          <w:rFonts w:hint="eastAsia" w:ascii="仿宋" w:hAnsi="仿宋" w:eastAsia="仿宋" w:cs="仿宋"/>
          <w:spacing w:val="6"/>
          <w:sz w:val="30"/>
          <w:szCs w:val="30"/>
          <w:lang w:val="en-US" w:eastAsia="zh-CN"/>
        </w:rPr>
      </w:pPr>
      <w:r>
        <w:rPr>
          <w:rFonts w:hint="eastAsia" w:ascii="仿宋" w:hAnsi="仿宋" w:eastAsia="仿宋" w:cs="仿宋"/>
          <w:b/>
          <w:bCs/>
          <w:spacing w:val="6"/>
          <w:sz w:val="30"/>
          <w:szCs w:val="30"/>
        </w:rPr>
        <w:t>第一条</w:t>
      </w:r>
      <w:r>
        <w:rPr>
          <w:rFonts w:hint="eastAsia" w:ascii="仿宋" w:hAnsi="仿宋" w:eastAsia="仿宋" w:cs="仿宋"/>
          <w:b/>
          <w:bCs/>
          <w:spacing w:val="6"/>
          <w:sz w:val="30"/>
          <w:szCs w:val="30"/>
          <w:lang w:val="en-US" w:eastAsia="zh-CN"/>
        </w:rPr>
        <w:t xml:space="preserve"> </w:t>
      </w:r>
      <w:r>
        <w:rPr>
          <w:rFonts w:hint="eastAsia" w:ascii="仿宋" w:hAnsi="仿宋" w:eastAsia="仿宋" w:cs="仿宋"/>
          <w:spacing w:val="6"/>
          <w:sz w:val="30"/>
          <w:szCs w:val="30"/>
          <w:highlight w:val="none"/>
        </w:rPr>
        <w:t>为加强学校大型仪器设备的管理，促进大型仪器设备资源的合理配置</w:t>
      </w:r>
      <w:r>
        <w:rPr>
          <w:rFonts w:hint="eastAsia" w:ascii="仿宋" w:hAnsi="仿宋" w:eastAsia="仿宋" w:cs="仿宋"/>
          <w:spacing w:val="6"/>
          <w:sz w:val="30"/>
          <w:szCs w:val="30"/>
          <w:highlight w:val="none"/>
          <w:lang w:eastAsia="zh-CN"/>
        </w:rPr>
        <w:t>，</w:t>
      </w:r>
      <w:r>
        <w:rPr>
          <w:rFonts w:hint="eastAsia" w:ascii="仿宋" w:hAnsi="仿宋" w:eastAsia="仿宋" w:cs="仿宋"/>
          <w:spacing w:val="6"/>
          <w:sz w:val="30"/>
          <w:szCs w:val="30"/>
          <w:highlight w:val="none"/>
        </w:rPr>
        <w:t>提高大型仪器设备使用效益，更好地为教学科研</w:t>
      </w:r>
      <w:r>
        <w:rPr>
          <w:rFonts w:hint="eastAsia" w:ascii="仿宋" w:hAnsi="仿宋" w:eastAsia="仿宋" w:cs="仿宋"/>
          <w:spacing w:val="6"/>
          <w:sz w:val="30"/>
          <w:szCs w:val="30"/>
          <w:highlight w:val="none"/>
          <w:lang w:val="en-US" w:eastAsia="zh-CN"/>
        </w:rPr>
        <w:t>提供</w:t>
      </w:r>
      <w:r>
        <w:rPr>
          <w:rFonts w:hint="eastAsia" w:ascii="仿宋" w:hAnsi="仿宋" w:eastAsia="仿宋" w:cs="仿宋"/>
          <w:spacing w:val="6"/>
          <w:sz w:val="30"/>
          <w:szCs w:val="30"/>
          <w:highlight w:val="none"/>
        </w:rPr>
        <w:t>服务</w:t>
      </w:r>
      <w:r>
        <w:rPr>
          <w:rFonts w:hint="eastAsia" w:ascii="仿宋" w:hAnsi="仿宋" w:eastAsia="仿宋" w:cs="仿宋"/>
          <w:spacing w:val="6"/>
          <w:sz w:val="30"/>
          <w:szCs w:val="30"/>
          <w:highlight w:val="none"/>
          <w:lang w:eastAsia="zh-CN"/>
        </w:rPr>
        <w:t>，</w:t>
      </w:r>
      <w:r>
        <w:rPr>
          <w:rFonts w:hint="eastAsia" w:ascii="仿宋" w:hAnsi="仿宋" w:eastAsia="仿宋" w:cs="仿宋"/>
          <w:spacing w:val="6"/>
          <w:sz w:val="30"/>
          <w:szCs w:val="30"/>
          <w:highlight w:val="none"/>
        </w:rPr>
        <w:t>根据</w:t>
      </w:r>
      <w:r>
        <w:rPr>
          <w:rFonts w:hint="eastAsia" w:ascii="仿宋" w:hAnsi="仿宋" w:eastAsia="仿宋" w:cs="仿宋"/>
          <w:spacing w:val="6"/>
          <w:sz w:val="30"/>
          <w:szCs w:val="30"/>
          <w:highlight w:val="none"/>
          <w:lang w:val="en-US" w:eastAsia="zh-CN"/>
        </w:rPr>
        <w:t>教育部</w:t>
      </w:r>
      <w:r>
        <w:rPr>
          <w:rFonts w:hint="eastAsia" w:ascii="仿宋" w:hAnsi="仿宋" w:eastAsia="仿宋" w:cs="仿宋"/>
          <w:spacing w:val="6"/>
          <w:sz w:val="30"/>
          <w:szCs w:val="30"/>
          <w:highlight w:val="none"/>
        </w:rPr>
        <w:t>《高等学校仪器设备管理办法》《国务院关于国家重大科研基础设施和大型科研仪器向社会开放的意见》《上海电子信息职业技术学院（上海电子工业学校）教育收费管理规定》《上海电子信息职业技术学院科研管理办法》《上海电子信息职业技术学院固定资产管理办法》</w:t>
      </w:r>
      <w:r>
        <w:rPr>
          <w:rFonts w:hint="eastAsia" w:ascii="仿宋" w:hAnsi="仿宋" w:eastAsia="仿宋" w:cs="仿宋"/>
          <w:spacing w:val="6"/>
          <w:sz w:val="30"/>
          <w:szCs w:val="30"/>
        </w:rPr>
        <w:t>等文件的相关要求，结合学校实际，制定本办法</w:t>
      </w:r>
      <w:r>
        <w:rPr>
          <w:rFonts w:hint="eastAsia" w:ascii="仿宋" w:hAnsi="仿宋" w:eastAsia="仿宋" w:cs="仿宋"/>
          <w:spacing w:val="6"/>
          <w:sz w:val="30"/>
          <w:szCs w:val="30"/>
          <w:lang w:eastAsia="zh-CN"/>
        </w:rPr>
        <w:t>。</w:t>
      </w:r>
    </w:p>
    <w:p w14:paraId="46D6157F">
      <w:pPr>
        <w:keepNext w:val="0"/>
        <w:keepLines w:val="0"/>
        <w:pageBreakBefore w:val="0"/>
        <w:widowControl w:val="0"/>
        <w:kinsoku w:val="0"/>
        <w:wordWrap/>
        <w:overflowPunct w:val="0"/>
        <w:topLinePunct w:val="0"/>
        <w:autoSpaceDE w:val="0"/>
        <w:autoSpaceDN w:val="0"/>
        <w:bidi w:val="0"/>
        <w:adjustRightInd w:val="0"/>
        <w:snapToGrid w:val="0"/>
        <w:spacing w:line="360" w:lineRule="auto"/>
        <w:ind w:right="85" w:firstLine="626" w:firstLineChars="200"/>
        <w:jc w:val="both"/>
        <w:textAlignment w:val="baseline"/>
        <w:rPr>
          <w:rFonts w:hint="eastAsia" w:ascii="仿宋" w:hAnsi="仿宋" w:eastAsia="仿宋" w:cs="仿宋"/>
          <w:spacing w:val="6"/>
          <w:sz w:val="30"/>
          <w:szCs w:val="30"/>
          <w:lang w:val="en-US" w:eastAsia="zh-CN"/>
        </w:rPr>
      </w:pPr>
      <w:r>
        <w:rPr>
          <w:rFonts w:hint="eastAsia" w:ascii="仿宋" w:hAnsi="仿宋" w:eastAsia="仿宋" w:cs="仿宋"/>
          <w:b/>
          <w:bCs/>
          <w:spacing w:val="6"/>
          <w:sz w:val="30"/>
          <w:szCs w:val="30"/>
        </w:rPr>
        <w:t>第二条</w:t>
      </w:r>
      <w:r>
        <w:rPr>
          <w:rFonts w:hint="eastAsia" w:ascii="仿宋" w:hAnsi="仿宋" w:eastAsia="仿宋" w:cs="仿宋"/>
          <w:spacing w:val="6"/>
          <w:sz w:val="30"/>
          <w:szCs w:val="30"/>
          <w:lang w:val="en-US" w:eastAsia="zh-CN"/>
        </w:rPr>
        <w:t xml:space="preserve"> </w:t>
      </w:r>
      <w:r>
        <w:rPr>
          <w:rFonts w:hint="eastAsia" w:ascii="仿宋" w:hAnsi="仿宋" w:eastAsia="仿宋" w:cs="仿宋"/>
          <w:spacing w:val="6"/>
          <w:sz w:val="30"/>
          <w:szCs w:val="30"/>
        </w:rPr>
        <w:t>本办法所称的大型仪器设备</w:t>
      </w:r>
      <w:r>
        <w:rPr>
          <w:rFonts w:hint="eastAsia" w:ascii="仿宋" w:hAnsi="仿宋" w:eastAsia="仿宋" w:cs="仿宋"/>
          <w:spacing w:val="6"/>
          <w:sz w:val="30"/>
          <w:szCs w:val="30"/>
          <w:lang w:val="en-US" w:eastAsia="zh-CN"/>
        </w:rPr>
        <w:t>主要包括纳入学校固定资产管理的单台（套）账面原值在10万元及以上的教学科研设备和单台账面原值不足10万元但属于科技部统管的23种精密贵重仪器设备。</w:t>
      </w:r>
    </w:p>
    <w:p w14:paraId="5EB04C94">
      <w:pPr>
        <w:keepNext w:val="0"/>
        <w:keepLines w:val="0"/>
        <w:pageBreakBefore w:val="0"/>
        <w:widowControl w:val="0"/>
        <w:kinsoku w:val="0"/>
        <w:wordWrap/>
        <w:overflowPunct w:val="0"/>
        <w:topLinePunct w:val="0"/>
        <w:autoSpaceDE w:val="0"/>
        <w:autoSpaceDN w:val="0"/>
        <w:bidi w:val="0"/>
        <w:adjustRightInd w:val="0"/>
        <w:snapToGrid w:val="0"/>
        <w:spacing w:line="360" w:lineRule="auto"/>
        <w:ind w:right="85" w:firstLine="626" w:firstLineChars="200"/>
        <w:jc w:val="both"/>
        <w:textAlignment w:val="baseline"/>
        <w:rPr>
          <w:rFonts w:hint="eastAsia" w:ascii="仿宋" w:hAnsi="仿宋" w:eastAsia="仿宋" w:cs="仿宋"/>
          <w:spacing w:val="6"/>
          <w:sz w:val="30"/>
          <w:szCs w:val="30"/>
          <w:lang w:val="en-US" w:eastAsia="zh-CN"/>
        </w:rPr>
      </w:pPr>
      <w:r>
        <w:rPr>
          <w:rFonts w:hint="eastAsia" w:ascii="仿宋" w:hAnsi="仿宋" w:eastAsia="仿宋" w:cs="仿宋"/>
          <w:b/>
          <w:bCs/>
          <w:spacing w:val="6"/>
          <w:sz w:val="30"/>
          <w:szCs w:val="30"/>
          <w:lang w:val="en-US" w:eastAsia="zh-CN"/>
        </w:rPr>
        <w:t>第三条</w:t>
      </w:r>
      <w:r>
        <w:rPr>
          <w:rFonts w:hint="eastAsia" w:ascii="仿宋" w:hAnsi="仿宋" w:eastAsia="仿宋" w:cs="仿宋"/>
          <w:spacing w:val="6"/>
          <w:sz w:val="30"/>
          <w:szCs w:val="30"/>
          <w:lang w:val="en-US" w:eastAsia="zh-CN"/>
        </w:rPr>
        <w:t xml:space="preserve"> 大型仪器设备配置要建立科学的立项论证、采购验收、管理职责、资源共享、有偿使用、绩效考评等运行机制，要以促进学校内涵发展为根本宗旨，以重点专业建设规划、学校实训室建设规划、重大科研项目规划为主要依据，做到统筹安排，合理布局，集中财力，节省资源，避免分散投资、重复配置、闲置浪费。</w:t>
      </w:r>
    </w:p>
    <w:p w14:paraId="39AD1C84">
      <w:pPr>
        <w:keepNext w:val="0"/>
        <w:keepLines w:val="0"/>
        <w:pageBreakBefore w:val="0"/>
        <w:widowControl w:val="0"/>
        <w:kinsoku w:val="0"/>
        <w:wordWrap/>
        <w:overflowPunct w:val="0"/>
        <w:topLinePunct w:val="0"/>
        <w:autoSpaceDE w:val="0"/>
        <w:autoSpaceDN w:val="0"/>
        <w:bidi w:val="0"/>
        <w:adjustRightInd w:val="0"/>
        <w:snapToGrid w:val="0"/>
        <w:spacing w:line="360" w:lineRule="auto"/>
        <w:ind w:right="85" w:firstLine="626" w:firstLineChars="200"/>
        <w:jc w:val="both"/>
        <w:textAlignment w:val="baseline"/>
        <w:rPr>
          <w:rFonts w:hint="eastAsia" w:ascii="仿宋" w:hAnsi="仿宋" w:eastAsia="仿宋" w:cs="仿宋"/>
          <w:spacing w:val="6"/>
          <w:sz w:val="30"/>
          <w:szCs w:val="30"/>
          <w:lang w:val="en-US" w:eastAsia="zh-CN"/>
        </w:rPr>
      </w:pPr>
      <w:r>
        <w:rPr>
          <w:rFonts w:hint="eastAsia" w:ascii="仿宋" w:hAnsi="仿宋" w:eastAsia="仿宋" w:cs="仿宋"/>
          <w:b/>
          <w:bCs/>
          <w:spacing w:val="6"/>
          <w:sz w:val="30"/>
          <w:szCs w:val="30"/>
          <w:lang w:val="en-US" w:eastAsia="zh-CN"/>
        </w:rPr>
        <w:t>第四条</w:t>
      </w:r>
      <w:r>
        <w:rPr>
          <w:rFonts w:hint="eastAsia" w:ascii="仿宋" w:hAnsi="仿宋" w:eastAsia="仿宋" w:cs="仿宋"/>
          <w:spacing w:val="6"/>
          <w:sz w:val="30"/>
          <w:szCs w:val="30"/>
          <w:lang w:val="en-US" w:eastAsia="zh-CN"/>
        </w:rPr>
        <w:t xml:space="preserve"> 大型仪器设备使用管理坚持“统筹规划、专管共用、信息共享、发挥效益”的原则，鼓励大型仪器设备开放共享，在保证完成教学科研工作任务的前提下，可利用大型仪器设备从事协作研究、校内外有偿服务活动，提高其利用率，充分发挥使用效益。</w:t>
      </w:r>
    </w:p>
    <w:p w14:paraId="38D99AAB">
      <w:pPr>
        <w:keepNext w:val="0"/>
        <w:keepLines w:val="0"/>
        <w:pageBreakBefore w:val="0"/>
        <w:widowControl w:val="0"/>
        <w:kinsoku w:val="0"/>
        <w:wordWrap/>
        <w:overflowPunct w:val="0"/>
        <w:topLinePunct w:val="0"/>
        <w:autoSpaceDE w:val="0"/>
        <w:autoSpaceDN w:val="0"/>
        <w:bidi w:val="0"/>
        <w:adjustRightInd w:val="0"/>
        <w:snapToGrid w:val="0"/>
        <w:spacing w:line="360" w:lineRule="auto"/>
        <w:ind w:left="0" w:firstLine="0" w:firstLineChars="0"/>
        <w:jc w:val="center"/>
        <w:textAlignment w:val="baseline"/>
        <w:outlineLvl w:val="0"/>
        <w:rPr>
          <w:rFonts w:hint="eastAsia" w:ascii="仿宋" w:hAnsi="仿宋" w:eastAsia="仿宋" w:cs="仿宋"/>
          <w:b/>
          <w:bCs/>
          <w:spacing w:val="25"/>
          <w:sz w:val="30"/>
          <w:szCs w:val="30"/>
        </w:rPr>
      </w:pPr>
      <w:r>
        <w:rPr>
          <w:rFonts w:hint="eastAsia" w:ascii="仿宋" w:hAnsi="仿宋" w:eastAsia="仿宋" w:cs="仿宋"/>
          <w:b/>
          <w:bCs/>
          <w:spacing w:val="25"/>
          <w:sz w:val="30"/>
          <w:szCs w:val="30"/>
        </w:rPr>
        <w:t>第二章  管理职责</w:t>
      </w:r>
    </w:p>
    <w:p w14:paraId="3AC40A9B">
      <w:pPr>
        <w:keepNext w:val="0"/>
        <w:keepLines w:val="0"/>
        <w:pageBreakBefore w:val="0"/>
        <w:widowControl w:val="0"/>
        <w:kinsoku w:val="0"/>
        <w:wordWrap/>
        <w:overflowPunct w:val="0"/>
        <w:topLinePunct w:val="0"/>
        <w:autoSpaceDE w:val="0"/>
        <w:autoSpaceDN w:val="0"/>
        <w:bidi w:val="0"/>
        <w:adjustRightInd w:val="0"/>
        <w:snapToGrid w:val="0"/>
        <w:spacing w:line="360" w:lineRule="auto"/>
        <w:ind w:firstLine="626" w:firstLineChars="200"/>
        <w:jc w:val="both"/>
        <w:textAlignment w:val="baseline"/>
        <w:rPr>
          <w:rFonts w:hint="eastAsia" w:ascii="仿宋" w:hAnsi="仿宋" w:eastAsia="仿宋" w:cs="仿宋"/>
          <w:spacing w:val="5"/>
          <w:sz w:val="30"/>
          <w:szCs w:val="30"/>
          <w:highlight w:val="none"/>
        </w:rPr>
      </w:pPr>
      <w:r>
        <w:rPr>
          <w:rFonts w:hint="eastAsia" w:ascii="仿宋" w:hAnsi="仿宋" w:eastAsia="仿宋" w:cs="仿宋"/>
          <w:b/>
          <w:bCs/>
          <w:spacing w:val="6"/>
          <w:sz w:val="30"/>
          <w:szCs w:val="30"/>
          <w:highlight w:val="none"/>
          <w:lang w:val="en-US" w:eastAsia="zh-CN"/>
        </w:rPr>
        <w:t>第五条</w:t>
      </w:r>
      <w:r>
        <w:rPr>
          <w:rFonts w:hint="eastAsia" w:ascii="仿宋" w:hAnsi="仿宋" w:eastAsia="仿宋" w:cs="仿宋"/>
          <w:spacing w:val="5"/>
          <w:sz w:val="30"/>
          <w:szCs w:val="30"/>
          <w:highlight w:val="none"/>
        </w:rPr>
        <w:t xml:space="preserve"> </w:t>
      </w:r>
      <w:r>
        <w:rPr>
          <w:rFonts w:hint="eastAsia" w:ascii="仿宋" w:hAnsi="仿宋" w:eastAsia="仿宋" w:cs="仿宋"/>
          <w:spacing w:val="5"/>
          <w:sz w:val="30"/>
          <w:szCs w:val="30"/>
          <w:highlight w:val="none"/>
          <w:lang w:eastAsia="zh-CN"/>
        </w:rPr>
        <w:t>资产管理处</w:t>
      </w:r>
      <w:r>
        <w:rPr>
          <w:rFonts w:hint="eastAsia" w:ascii="仿宋" w:hAnsi="仿宋" w:eastAsia="仿宋" w:cs="仿宋"/>
          <w:spacing w:val="5"/>
          <w:sz w:val="30"/>
          <w:szCs w:val="30"/>
          <w:highlight w:val="none"/>
          <w:lang w:val="en-US" w:eastAsia="zh-CN"/>
        </w:rPr>
        <w:t>是大型仪器设备的业务归口</w:t>
      </w:r>
      <w:r>
        <w:rPr>
          <w:rFonts w:hint="eastAsia" w:ascii="仿宋" w:hAnsi="仿宋" w:eastAsia="仿宋" w:cs="仿宋"/>
          <w:spacing w:val="5"/>
          <w:sz w:val="30"/>
          <w:szCs w:val="30"/>
          <w:highlight w:val="none"/>
        </w:rPr>
        <w:t>管理</w:t>
      </w:r>
      <w:r>
        <w:rPr>
          <w:rFonts w:hint="eastAsia" w:ascii="仿宋" w:hAnsi="仿宋" w:eastAsia="仿宋" w:cs="仿宋"/>
          <w:spacing w:val="5"/>
          <w:sz w:val="30"/>
          <w:szCs w:val="30"/>
          <w:highlight w:val="none"/>
          <w:lang w:val="en-US" w:eastAsia="zh-CN"/>
        </w:rPr>
        <w:t>部门</w:t>
      </w:r>
      <w:r>
        <w:rPr>
          <w:rFonts w:hint="eastAsia" w:ascii="仿宋" w:hAnsi="仿宋" w:eastAsia="仿宋" w:cs="仿宋"/>
          <w:spacing w:val="5"/>
          <w:sz w:val="30"/>
          <w:szCs w:val="30"/>
          <w:highlight w:val="none"/>
          <w:lang w:eastAsia="zh-CN"/>
        </w:rPr>
        <w:t>，</w:t>
      </w:r>
      <w:r>
        <w:rPr>
          <w:rFonts w:hint="eastAsia" w:ascii="仿宋" w:hAnsi="仿宋" w:eastAsia="仿宋" w:cs="仿宋"/>
          <w:spacing w:val="5"/>
          <w:sz w:val="30"/>
          <w:szCs w:val="30"/>
          <w:highlight w:val="none"/>
          <w:lang w:val="en-US" w:eastAsia="zh-CN"/>
        </w:rPr>
        <w:t>其</w:t>
      </w:r>
      <w:r>
        <w:rPr>
          <w:rFonts w:hint="eastAsia" w:ascii="仿宋" w:hAnsi="仿宋" w:eastAsia="仿宋" w:cs="仿宋"/>
          <w:spacing w:val="5"/>
          <w:sz w:val="30"/>
          <w:szCs w:val="30"/>
          <w:highlight w:val="none"/>
        </w:rPr>
        <w:t>主要工作职责</w:t>
      </w:r>
      <w:r>
        <w:rPr>
          <w:rFonts w:hint="eastAsia" w:ascii="仿宋" w:hAnsi="仿宋" w:eastAsia="仿宋" w:cs="仿宋"/>
          <w:spacing w:val="5"/>
          <w:sz w:val="30"/>
          <w:szCs w:val="30"/>
          <w:highlight w:val="none"/>
          <w:lang w:val="en-US" w:eastAsia="zh-CN"/>
        </w:rPr>
        <w:t>是</w:t>
      </w:r>
      <w:r>
        <w:rPr>
          <w:rFonts w:hint="eastAsia" w:ascii="仿宋" w:hAnsi="仿宋" w:eastAsia="仿宋" w:cs="仿宋"/>
          <w:spacing w:val="5"/>
          <w:sz w:val="30"/>
          <w:szCs w:val="30"/>
          <w:highlight w:val="none"/>
        </w:rPr>
        <w:t>：</w:t>
      </w:r>
    </w:p>
    <w:p w14:paraId="3581B1CF">
      <w:pPr>
        <w:keepNext w:val="0"/>
        <w:keepLines w:val="0"/>
        <w:pageBreakBefore w:val="0"/>
        <w:widowControl w:val="0"/>
        <w:kinsoku w:val="0"/>
        <w:wordWrap/>
        <w:overflowPunct w:val="0"/>
        <w:topLinePunct w:val="0"/>
        <w:autoSpaceDE w:val="0"/>
        <w:autoSpaceDN w:val="0"/>
        <w:bidi w:val="0"/>
        <w:adjustRightInd w:val="0"/>
        <w:snapToGrid w:val="0"/>
        <w:spacing w:line="360" w:lineRule="auto"/>
        <w:ind w:firstLine="620" w:firstLineChars="200"/>
        <w:jc w:val="both"/>
        <w:textAlignment w:val="baseline"/>
        <w:rPr>
          <w:rFonts w:hint="eastAsia" w:ascii="仿宋" w:hAnsi="仿宋" w:eastAsia="仿宋" w:cs="仿宋"/>
          <w:spacing w:val="5"/>
          <w:sz w:val="30"/>
          <w:szCs w:val="30"/>
          <w:highlight w:val="none"/>
        </w:rPr>
      </w:pPr>
      <w:r>
        <w:rPr>
          <w:rFonts w:hint="eastAsia" w:ascii="仿宋" w:hAnsi="仿宋" w:eastAsia="仿宋" w:cs="仿宋"/>
          <w:spacing w:val="5"/>
          <w:sz w:val="30"/>
          <w:szCs w:val="30"/>
          <w:highlight w:val="none"/>
          <w:lang w:eastAsia="zh-CN"/>
        </w:rPr>
        <w:t>（</w:t>
      </w:r>
      <w:r>
        <w:rPr>
          <w:rFonts w:hint="eastAsia" w:ascii="仿宋" w:hAnsi="仿宋" w:eastAsia="仿宋" w:cs="仿宋"/>
          <w:spacing w:val="5"/>
          <w:sz w:val="30"/>
          <w:szCs w:val="30"/>
          <w:highlight w:val="none"/>
        </w:rPr>
        <w:t>一</w:t>
      </w:r>
      <w:r>
        <w:rPr>
          <w:rFonts w:hint="eastAsia" w:ascii="仿宋" w:hAnsi="仿宋" w:eastAsia="仿宋" w:cs="仿宋"/>
          <w:spacing w:val="5"/>
          <w:sz w:val="30"/>
          <w:szCs w:val="30"/>
          <w:highlight w:val="none"/>
          <w:lang w:eastAsia="zh-CN"/>
        </w:rPr>
        <w:t>）</w:t>
      </w:r>
      <w:r>
        <w:rPr>
          <w:rFonts w:hint="eastAsia" w:ascii="仿宋" w:hAnsi="仿宋" w:eastAsia="仿宋" w:cs="仿宋"/>
          <w:spacing w:val="5"/>
          <w:sz w:val="30"/>
          <w:szCs w:val="30"/>
          <w:highlight w:val="none"/>
        </w:rPr>
        <w:t>负责贯彻执行国家相关</w:t>
      </w:r>
      <w:r>
        <w:rPr>
          <w:rFonts w:hint="eastAsia" w:ascii="仿宋" w:hAnsi="仿宋" w:eastAsia="仿宋" w:cs="仿宋"/>
          <w:spacing w:val="5"/>
          <w:sz w:val="30"/>
          <w:szCs w:val="30"/>
          <w:highlight w:val="none"/>
          <w:lang w:val="en-US" w:eastAsia="zh-CN"/>
        </w:rPr>
        <w:t>政策</w:t>
      </w:r>
      <w:r>
        <w:rPr>
          <w:rFonts w:hint="eastAsia" w:ascii="仿宋" w:hAnsi="仿宋" w:eastAsia="仿宋" w:cs="仿宋"/>
          <w:spacing w:val="5"/>
          <w:sz w:val="30"/>
          <w:szCs w:val="30"/>
          <w:highlight w:val="none"/>
        </w:rPr>
        <w:t>，</w:t>
      </w:r>
      <w:r>
        <w:rPr>
          <w:rFonts w:hint="eastAsia" w:ascii="仿宋" w:hAnsi="仿宋" w:eastAsia="仿宋" w:cs="仿宋"/>
          <w:spacing w:val="5"/>
          <w:sz w:val="30"/>
          <w:szCs w:val="30"/>
          <w:highlight w:val="none"/>
          <w:lang w:val="en-US" w:eastAsia="zh-CN"/>
        </w:rPr>
        <w:t>研究</w:t>
      </w:r>
      <w:r>
        <w:rPr>
          <w:rFonts w:hint="eastAsia" w:ascii="仿宋" w:hAnsi="仿宋" w:eastAsia="仿宋" w:cs="仿宋"/>
          <w:spacing w:val="5"/>
          <w:sz w:val="30"/>
          <w:szCs w:val="30"/>
          <w:highlight w:val="none"/>
        </w:rPr>
        <w:t>制定学校大型仪器设备管理制度；</w:t>
      </w:r>
    </w:p>
    <w:p w14:paraId="158453BF">
      <w:pPr>
        <w:keepNext w:val="0"/>
        <w:keepLines w:val="0"/>
        <w:pageBreakBefore w:val="0"/>
        <w:widowControl w:val="0"/>
        <w:kinsoku w:val="0"/>
        <w:wordWrap/>
        <w:overflowPunct w:val="0"/>
        <w:topLinePunct w:val="0"/>
        <w:autoSpaceDE w:val="0"/>
        <w:autoSpaceDN w:val="0"/>
        <w:bidi w:val="0"/>
        <w:adjustRightInd w:val="0"/>
        <w:snapToGrid w:val="0"/>
        <w:spacing w:line="360" w:lineRule="auto"/>
        <w:ind w:firstLine="620" w:firstLineChars="200"/>
        <w:jc w:val="both"/>
        <w:textAlignment w:val="baseline"/>
        <w:rPr>
          <w:rFonts w:hint="eastAsia" w:ascii="仿宋" w:hAnsi="仿宋" w:eastAsia="仿宋" w:cs="仿宋"/>
          <w:spacing w:val="5"/>
          <w:sz w:val="30"/>
          <w:szCs w:val="30"/>
        </w:rPr>
      </w:pPr>
      <w:r>
        <w:rPr>
          <w:rFonts w:hint="eastAsia" w:ascii="仿宋" w:hAnsi="仿宋" w:eastAsia="仿宋" w:cs="仿宋"/>
          <w:spacing w:val="5"/>
          <w:sz w:val="30"/>
          <w:szCs w:val="30"/>
          <w:highlight w:val="none"/>
          <w:lang w:eastAsia="zh-CN"/>
        </w:rPr>
        <w:t>（</w:t>
      </w:r>
      <w:r>
        <w:rPr>
          <w:rFonts w:hint="eastAsia" w:ascii="仿宋" w:hAnsi="仿宋" w:eastAsia="仿宋" w:cs="仿宋"/>
          <w:spacing w:val="5"/>
          <w:sz w:val="30"/>
          <w:szCs w:val="30"/>
          <w:highlight w:val="none"/>
          <w:lang w:val="en-US" w:eastAsia="zh-CN"/>
        </w:rPr>
        <w:t>二</w:t>
      </w:r>
      <w:r>
        <w:rPr>
          <w:rFonts w:hint="eastAsia" w:ascii="仿宋" w:hAnsi="仿宋" w:eastAsia="仿宋" w:cs="仿宋"/>
          <w:spacing w:val="5"/>
          <w:sz w:val="30"/>
          <w:szCs w:val="30"/>
          <w:highlight w:val="none"/>
          <w:lang w:eastAsia="zh-CN"/>
        </w:rPr>
        <w:t>）</w:t>
      </w:r>
      <w:r>
        <w:rPr>
          <w:rFonts w:hint="eastAsia" w:ascii="仿宋" w:hAnsi="仿宋" w:eastAsia="仿宋" w:cs="仿宋"/>
          <w:spacing w:val="5"/>
          <w:sz w:val="30"/>
          <w:szCs w:val="30"/>
          <w:highlight w:val="none"/>
        </w:rPr>
        <w:t>负责全校大型仪器设备购置论证工作，组</w:t>
      </w:r>
      <w:r>
        <w:rPr>
          <w:rFonts w:hint="eastAsia" w:ascii="仿宋" w:hAnsi="仿宋" w:eastAsia="仿宋" w:cs="仿宋"/>
          <w:spacing w:val="5"/>
          <w:sz w:val="30"/>
          <w:szCs w:val="30"/>
        </w:rPr>
        <w:t>织</w:t>
      </w:r>
      <w:r>
        <w:rPr>
          <w:rFonts w:hint="eastAsia" w:ascii="仿宋" w:hAnsi="仿宋" w:eastAsia="仿宋" w:cs="仿宋"/>
          <w:spacing w:val="17"/>
          <w:sz w:val="30"/>
          <w:szCs w:val="30"/>
          <w:lang w:val="en-US" w:eastAsia="zh-CN"/>
        </w:rPr>
        <w:t>单台（套）价值在</w:t>
      </w:r>
      <w:r>
        <w:rPr>
          <w:rFonts w:hint="eastAsia" w:ascii="仿宋" w:hAnsi="仿宋" w:eastAsia="仿宋" w:cs="仿宋"/>
          <w:spacing w:val="5"/>
          <w:sz w:val="30"/>
          <w:szCs w:val="30"/>
        </w:rPr>
        <w:t>50万元</w:t>
      </w:r>
      <w:r>
        <w:rPr>
          <w:rFonts w:hint="eastAsia" w:ascii="仿宋" w:hAnsi="仿宋" w:eastAsia="仿宋" w:cs="仿宋"/>
          <w:spacing w:val="5"/>
          <w:sz w:val="30"/>
          <w:szCs w:val="30"/>
          <w:lang w:val="en-US" w:eastAsia="zh-CN"/>
        </w:rPr>
        <w:t>及以上的</w:t>
      </w:r>
      <w:r>
        <w:rPr>
          <w:rFonts w:hint="eastAsia" w:ascii="仿宋" w:hAnsi="仿宋" w:eastAsia="仿宋" w:cs="仿宋"/>
          <w:spacing w:val="5"/>
          <w:sz w:val="30"/>
          <w:szCs w:val="30"/>
        </w:rPr>
        <w:t>大型仪器设备</w:t>
      </w:r>
      <w:r>
        <w:rPr>
          <w:rFonts w:hint="eastAsia" w:ascii="仿宋" w:hAnsi="仿宋" w:eastAsia="仿宋" w:cs="仿宋"/>
          <w:spacing w:val="5"/>
          <w:sz w:val="30"/>
          <w:szCs w:val="30"/>
          <w:lang w:val="en-US" w:eastAsia="zh-CN"/>
        </w:rPr>
        <w:t>购置</w:t>
      </w:r>
      <w:r>
        <w:rPr>
          <w:rFonts w:hint="eastAsia" w:ascii="仿宋" w:hAnsi="仿宋" w:eastAsia="仿宋" w:cs="仿宋"/>
          <w:spacing w:val="5"/>
          <w:sz w:val="30"/>
          <w:szCs w:val="30"/>
        </w:rPr>
        <w:t>可行性论证；</w:t>
      </w:r>
    </w:p>
    <w:p w14:paraId="0A61ED32">
      <w:pPr>
        <w:keepNext w:val="0"/>
        <w:keepLines w:val="0"/>
        <w:pageBreakBefore w:val="0"/>
        <w:widowControl w:val="0"/>
        <w:kinsoku w:val="0"/>
        <w:wordWrap/>
        <w:overflowPunct w:val="0"/>
        <w:topLinePunct w:val="0"/>
        <w:autoSpaceDE w:val="0"/>
        <w:autoSpaceDN w:val="0"/>
        <w:bidi w:val="0"/>
        <w:adjustRightInd w:val="0"/>
        <w:snapToGrid w:val="0"/>
        <w:spacing w:line="360" w:lineRule="auto"/>
        <w:ind w:firstLine="620" w:firstLineChars="200"/>
        <w:jc w:val="both"/>
        <w:textAlignment w:val="baseline"/>
        <w:rPr>
          <w:rFonts w:hint="eastAsia" w:ascii="仿宋" w:hAnsi="仿宋" w:eastAsia="仿宋" w:cs="仿宋"/>
          <w:spacing w:val="5"/>
          <w:sz w:val="30"/>
          <w:szCs w:val="30"/>
          <w:lang w:val="en-US" w:eastAsia="zh-CN"/>
        </w:rPr>
      </w:pPr>
      <w:r>
        <w:rPr>
          <w:rFonts w:hint="eastAsia" w:ascii="仿宋" w:hAnsi="仿宋" w:eastAsia="仿宋" w:cs="仿宋"/>
          <w:spacing w:val="5"/>
          <w:sz w:val="30"/>
          <w:szCs w:val="30"/>
          <w:lang w:eastAsia="zh-CN"/>
        </w:rPr>
        <w:t>（</w:t>
      </w:r>
      <w:r>
        <w:rPr>
          <w:rFonts w:hint="eastAsia" w:ascii="仿宋" w:hAnsi="仿宋" w:eastAsia="仿宋" w:cs="仿宋"/>
          <w:spacing w:val="5"/>
          <w:sz w:val="30"/>
          <w:szCs w:val="30"/>
          <w:lang w:val="en-US" w:eastAsia="zh-CN"/>
        </w:rPr>
        <w:t>三</w:t>
      </w:r>
      <w:r>
        <w:rPr>
          <w:rFonts w:hint="eastAsia" w:ascii="仿宋" w:hAnsi="仿宋" w:eastAsia="仿宋" w:cs="仿宋"/>
          <w:spacing w:val="5"/>
          <w:sz w:val="30"/>
          <w:szCs w:val="30"/>
          <w:lang w:eastAsia="zh-CN"/>
        </w:rPr>
        <w:t>）</w:t>
      </w:r>
      <w:r>
        <w:rPr>
          <w:rFonts w:hint="eastAsia" w:ascii="仿宋" w:hAnsi="仿宋" w:eastAsia="仿宋" w:cs="仿宋"/>
          <w:spacing w:val="5"/>
          <w:sz w:val="30"/>
          <w:szCs w:val="30"/>
          <w:lang w:val="en-US" w:eastAsia="zh-CN"/>
        </w:rPr>
        <w:t>会同有关部门建立大</w:t>
      </w:r>
      <w:r>
        <w:rPr>
          <w:rFonts w:hint="eastAsia" w:ascii="仿宋" w:hAnsi="仿宋" w:eastAsia="仿宋" w:cs="仿宋"/>
          <w:spacing w:val="5"/>
          <w:sz w:val="30"/>
          <w:szCs w:val="30"/>
        </w:rPr>
        <w:t>型仪器设备</w:t>
      </w:r>
      <w:r>
        <w:rPr>
          <w:rFonts w:hint="eastAsia" w:ascii="仿宋" w:hAnsi="仿宋" w:eastAsia="仿宋" w:cs="仿宋"/>
          <w:spacing w:val="5"/>
          <w:sz w:val="30"/>
          <w:szCs w:val="30"/>
          <w:lang w:val="en-US" w:eastAsia="zh-CN"/>
        </w:rPr>
        <w:t>年度考核评价制度，组织开展</w:t>
      </w:r>
      <w:r>
        <w:rPr>
          <w:rFonts w:hint="eastAsia" w:ascii="仿宋" w:hAnsi="仿宋" w:eastAsia="仿宋" w:cs="仿宋"/>
          <w:spacing w:val="5"/>
          <w:sz w:val="30"/>
          <w:szCs w:val="30"/>
        </w:rPr>
        <w:t>大型仪器设备</w:t>
      </w:r>
      <w:r>
        <w:rPr>
          <w:rFonts w:hint="eastAsia" w:ascii="仿宋" w:hAnsi="仿宋" w:eastAsia="仿宋" w:cs="仿宋"/>
          <w:spacing w:val="5"/>
          <w:sz w:val="30"/>
          <w:szCs w:val="30"/>
          <w:lang w:val="en-US" w:eastAsia="zh-CN"/>
        </w:rPr>
        <w:t>使用效益考核评价工作；</w:t>
      </w:r>
    </w:p>
    <w:p w14:paraId="74746B17">
      <w:pPr>
        <w:keepNext w:val="0"/>
        <w:keepLines w:val="0"/>
        <w:pageBreakBefore w:val="0"/>
        <w:widowControl w:val="0"/>
        <w:kinsoku w:val="0"/>
        <w:wordWrap/>
        <w:overflowPunct w:val="0"/>
        <w:topLinePunct w:val="0"/>
        <w:autoSpaceDE w:val="0"/>
        <w:autoSpaceDN w:val="0"/>
        <w:bidi w:val="0"/>
        <w:adjustRightInd w:val="0"/>
        <w:snapToGrid w:val="0"/>
        <w:spacing w:line="360" w:lineRule="auto"/>
        <w:ind w:firstLine="620" w:firstLineChars="200"/>
        <w:jc w:val="both"/>
        <w:textAlignment w:val="baseline"/>
        <w:rPr>
          <w:rFonts w:hint="eastAsia" w:ascii="仿宋" w:hAnsi="仿宋" w:eastAsia="仿宋" w:cs="仿宋"/>
          <w:spacing w:val="5"/>
          <w:sz w:val="30"/>
          <w:szCs w:val="30"/>
          <w:lang w:eastAsia="zh-CN"/>
        </w:rPr>
      </w:pPr>
      <w:r>
        <w:rPr>
          <w:rFonts w:hint="eastAsia" w:ascii="仿宋" w:hAnsi="仿宋" w:eastAsia="仿宋" w:cs="仿宋"/>
          <w:spacing w:val="5"/>
          <w:sz w:val="30"/>
          <w:szCs w:val="30"/>
          <w:lang w:eastAsia="zh-CN"/>
        </w:rPr>
        <w:t>（</w:t>
      </w:r>
      <w:r>
        <w:rPr>
          <w:rFonts w:hint="eastAsia" w:ascii="仿宋" w:hAnsi="仿宋" w:eastAsia="仿宋" w:cs="仿宋"/>
          <w:spacing w:val="5"/>
          <w:sz w:val="30"/>
          <w:szCs w:val="30"/>
          <w:lang w:val="en-US" w:eastAsia="zh-CN"/>
        </w:rPr>
        <w:t>四）</w:t>
      </w:r>
      <w:r>
        <w:rPr>
          <w:rFonts w:hint="eastAsia" w:ascii="仿宋" w:hAnsi="仿宋" w:eastAsia="仿宋" w:cs="仿宋"/>
          <w:spacing w:val="5"/>
          <w:sz w:val="30"/>
          <w:szCs w:val="30"/>
        </w:rPr>
        <w:t>负责大型仪器设备相关信息统计上报和信息发布工作</w:t>
      </w:r>
      <w:r>
        <w:rPr>
          <w:rFonts w:hint="eastAsia" w:ascii="仿宋" w:hAnsi="仿宋" w:eastAsia="仿宋" w:cs="仿宋"/>
          <w:spacing w:val="5"/>
          <w:sz w:val="30"/>
          <w:szCs w:val="30"/>
          <w:lang w:eastAsia="zh-CN"/>
        </w:rPr>
        <w:t>；</w:t>
      </w:r>
    </w:p>
    <w:p w14:paraId="07CA6E26">
      <w:pPr>
        <w:keepNext w:val="0"/>
        <w:keepLines w:val="0"/>
        <w:pageBreakBefore w:val="0"/>
        <w:widowControl w:val="0"/>
        <w:kinsoku w:val="0"/>
        <w:wordWrap/>
        <w:overflowPunct w:val="0"/>
        <w:topLinePunct w:val="0"/>
        <w:autoSpaceDE w:val="0"/>
        <w:autoSpaceDN w:val="0"/>
        <w:bidi w:val="0"/>
        <w:adjustRightInd w:val="0"/>
        <w:snapToGrid w:val="0"/>
        <w:spacing w:line="360" w:lineRule="auto"/>
        <w:ind w:firstLine="620" w:firstLineChars="200"/>
        <w:jc w:val="both"/>
        <w:textAlignment w:val="baseline"/>
        <w:rPr>
          <w:rFonts w:hint="eastAsia" w:ascii="仿宋" w:hAnsi="仿宋" w:eastAsia="仿宋" w:cs="仿宋"/>
          <w:spacing w:val="5"/>
          <w:sz w:val="30"/>
          <w:szCs w:val="30"/>
          <w:lang w:val="en-US" w:eastAsia="zh-CN"/>
        </w:rPr>
      </w:pPr>
      <w:r>
        <w:rPr>
          <w:rFonts w:hint="eastAsia" w:ascii="仿宋" w:hAnsi="仿宋" w:eastAsia="仿宋" w:cs="仿宋"/>
          <w:spacing w:val="5"/>
          <w:sz w:val="30"/>
          <w:szCs w:val="30"/>
          <w:lang w:eastAsia="zh-CN"/>
        </w:rPr>
        <w:t>（</w:t>
      </w:r>
      <w:r>
        <w:rPr>
          <w:rFonts w:hint="eastAsia" w:ascii="仿宋" w:hAnsi="仿宋" w:eastAsia="仿宋" w:cs="仿宋"/>
          <w:spacing w:val="5"/>
          <w:sz w:val="30"/>
          <w:szCs w:val="30"/>
          <w:lang w:val="en-US" w:eastAsia="zh-CN"/>
        </w:rPr>
        <w:t>五</w:t>
      </w:r>
      <w:r>
        <w:rPr>
          <w:rFonts w:hint="eastAsia" w:ascii="仿宋" w:hAnsi="仿宋" w:eastAsia="仿宋" w:cs="仿宋"/>
          <w:spacing w:val="5"/>
          <w:sz w:val="30"/>
          <w:szCs w:val="30"/>
          <w:lang w:eastAsia="zh-CN"/>
        </w:rPr>
        <w:t>）</w:t>
      </w:r>
      <w:r>
        <w:rPr>
          <w:rFonts w:hint="eastAsia" w:ascii="仿宋" w:hAnsi="仿宋" w:eastAsia="仿宋" w:cs="仿宋"/>
          <w:spacing w:val="5"/>
          <w:sz w:val="30"/>
          <w:szCs w:val="30"/>
          <w:lang w:val="en-US" w:eastAsia="zh-CN"/>
        </w:rPr>
        <w:t>负责统筹协调大型仪器设备开放共享管理工作。</w:t>
      </w:r>
    </w:p>
    <w:p w14:paraId="61E8D10D">
      <w:pPr>
        <w:keepNext w:val="0"/>
        <w:keepLines w:val="0"/>
        <w:pageBreakBefore w:val="0"/>
        <w:widowControl w:val="0"/>
        <w:kinsoku w:val="0"/>
        <w:wordWrap/>
        <w:overflowPunct w:val="0"/>
        <w:topLinePunct w:val="0"/>
        <w:autoSpaceDE w:val="0"/>
        <w:autoSpaceDN w:val="0"/>
        <w:bidi w:val="0"/>
        <w:adjustRightInd w:val="0"/>
        <w:snapToGrid w:val="0"/>
        <w:spacing w:line="360" w:lineRule="auto"/>
        <w:ind w:firstLine="626" w:firstLineChars="200"/>
        <w:jc w:val="both"/>
        <w:textAlignment w:val="baseline"/>
        <w:rPr>
          <w:rFonts w:hint="eastAsia" w:ascii="仿宋" w:hAnsi="仿宋" w:eastAsia="仿宋" w:cs="仿宋"/>
          <w:spacing w:val="5"/>
          <w:sz w:val="30"/>
          <w:szCs w:val="30"/>
          <w:highlight w:val="none"/>
          <w:lang w:val="en-US" w:eastAsia="zh-CN"/>
        </w:rPr>
      </w:pPr>
      <w:r>
        <w:rPr>
          <w:rFonts w:hint="eastAsia" w:ascii="仿宋" w:hAnsi="仿宋" w:eastAsia="仿宋" w:cs="仿宋"/>
          <w:b/>
          <w:bCs/>
          <w:spacing w:val="6"/>
          <w:sz w:val="30"/>
          <w:szCs w:val="30"/>
          <w:lang w:val="en-US" w:eastAsia="zh-CN"/>
        </w:rPr>
        <w:t>第六条</w:t>
      </w:r>
      <w:r>
        <w:rPr>
          <w:rFonts w:hint="eastAsia" w:ascii="仿宋" w:hAnsi="仿宋" w:eastAsia="仿宋" w:cs="仿宋"/>
          <w:spacing w:val="5"/>
          <w:sz w:val="30"/>
          <w:szCs w:val="30"/>
          <w:lang w:val="en-US" w:eastAsia="zh-CN"/>
        </w:rPr>
        <w:t xml:space="preserve"> 学校科研处、教务处、财务处、审计处等相关职能部门，按照各自职责，协同推</w:t>
      </w:r>
      <w:r>
        <w:rPr>
          <w:rFonts w:hint="eastAsia" w:ascii="仿宋" w:hAnsi="仿宋" w:eastAsia="仿宋" w:cs="仿宋"/>
          <w:spacing w:val="5"/>
          <w:sz w:val="30"/>
          <w:szCs w:val="30"/>
          <w:highlight w:val="none"/>
          <w:lang w:val="en-US" w:eastAsia="zh-CN"/>
        </w:rPr>
        <w:t>动大型仪器设备开放共享工作，主要职责是：</w:t>
      </w:r>
    </w:p>
    <w:p w14:paraId="4C4689AB">
      <w:pPr>
        <w:keepNext w:val="0"/>
        <w:keepLines w:val="0"/>
        <w:pageBreakBefore w:val="0"/>
        <w:widowControl w:val="0"/>
        <w:kinsoku w:val="0"/>
        <w:wordWrap/>
        <w:overflowPunct w:val="0"/>
        <w:topLinePunct w:val="0"/>
        <w:autoSpaceDE w:val="0"/>
        <w:autoSpaceDN w:val="0"/>
        <w:bidi w:val="0"/>
        <w:adjustRightInd w:val="0"/>
        <w:snapToGrid w:val="0"/>
        <w:spacing w:line="360" w:lineRule="auto"/>
        <w:ind w:firstLine="620" w:firstLineChars="200"/>
        <w:jc w:val="both"/>
        <w:textAlignment w:val="baseline"/>
        <w:rPr>
          <w:rFonts w:hint="eastAsia" w:ascii="仿宋" w:hAnsi="仿宋" w:eastAsia="仿宋" w:cs="仿宋"/>
          <w:spacing w:val="5"/>
          <w:sz w:val="30"/>
          <w:szCs w:val="30"/>
          <w:highlight w:val="none"/>
          <w:lang w:val="en-US" w:eastAsia="zh-CN"/>
        </w:rPr>
      </w:pPr>
      <w:r>
        <w:rPr>
          <w:rFonts w:hint="eastAsia" w:ascii="仿宋" w:hAnsi="仿宋" w:eastAsia="仿宋" w:cs="仿宋"/>
          <w:spacing w:val="5"/>
          <w:sz w:val="30"/>
          <w:szCs w:val="30"/>
          <w:highlight w:val="none"/>
          <w:lang w:val="en-US" w:eastAsia="zh-CN"/>
        </w:rPr>
        <w:t>（一）科研处负责科研类大型仪器设备立项中关于其科研领域及水平、项目负责人及承担项目情况等内容的审核，上海市研发公共服务平台信息发布与填报，并协助做好</w:t>
      </w:r>
      <w:r>
        <w:rPr>
          <w:rFonts w:hint="eastAsia" w:ascii="仿宋" w:hAnsi="仿宋" w:eastAsia="仿宋" w:cs="仿宋"/>
          <w:spacing w:val="5"/>
          <w:sz w:val="30"/>
          <w:szCs w:val="30"/>
          <w:highlight w:val="none"/>
        </w:rPr>
        <w:t>大型仪器设备</w:t>
      </w:r>
      <w:r>
        <w:rPr>
          <w:rFonts w:hint="eastAsia" w:ascii="仿宋" w:hAnsi="仿宋" w:eastAsia="仿宋" w:cs="仿宋"/>
          <w:spacing w:val="5"/>
          <w:sz w:val="30"/>
          <w:szCs w:val="30"/>
          <w:highlight w:val="none"/>
          <w:lang w:val="en-US" w:eastAsia="zh-CN"/>
        </w:rPr>
        <w:t>使用效益考核评价工作；</w:t>
      </w:r>
    </w:p>
    <w:p w14:paraId="36523F8F">
      <w:pPr>
        <w:keepNext w:val="0"/>
        <w:keepLines w:val="0"/>
        <w:pageBreakBefore w:val="0"/>
        <w:widowControl w:val="0"/>
        <w:kinsoku w:val="0"/>
        <w:wordWrap/>
        <w:overflowPunct w:val="0"/>
        <w:topLinePunct w:val="0"/>
        <w:autoSpaceDE w:val="0"/>
        <w:autoSpaceDN w:val="0"/>
        <w:bidi w:val="0"/>
        <w:adjustRightInd w:val="0"/>
        <w:snapToGrid w:val="0"/>
        <w:spacing w:line="360" w:lineRule="auto"/>
        <w:ind w:firstLine="620" w:firstLineChars="200"/>
        <w:jc w:val="both"/>
        <w:textAlignment w:val="baseline"/>
        <w:rPr>
          <w:rFonts w:hint="eastAsia" w:ascii="仿宋" w:hAnsi="仿宋" w:eastAsia="仿宋" w:cs="仿宋"/>
          <w:spacing w:val="5"/>
          <w:sz w:val="30"/>
          <w:szCs w:val="30"/>
          <w:highlight w:val="none"/>
          <w:lang w:val="en-US" w:eastAsia="zh-CN"/>
        </w:rPr>
      </w:pPr>
      <w:r>
        <w:rPr>
          <w:rFonts w:hint="eastAsia" w:ascii="仿宋" w:hAnsi="仿宋" w:eastAsia="仿宋" w:cs="仿宋"/>
          <w:spacing w:val="5"/>
          <w:sz w:val="30"/>
          <w:szCs w:val="30"/>
          <w:highlight w:val="none"/>
          <w:lang w:val="en-US" w:eastAsia="zh-CN"/>
        </w:rPr>
        <w:t>（二）教务处负责教学类大型仪器设备立项中关于其专业领域及水平、项目负责人及承担项目情况等内容的审核，并协助做好</w:t>
      </w:r>
      <w:r>
        <w:rPr>
          <w:rFonts w:hint="eastAsia" w:ascii="仿宋" w:hAnsi="仿宋" w:eastAsia="仿宋" w:cs="仿宋"/>
          <w:spacing w:val="5"/>
          <w:sz w:val="30"/>
          <w:szCs w:val="30"/>
          <w:highlight w:val="none"/>
        </w:rPr>
        <w:t>大型仪器设备</w:t>
      </w:r>
      <w:r>
        <w:rPr>
          <w:rFonts w:hint="eastAsia" w:ascii="仿宋" w:hAnsi="仿宋" w:eastAsia="仿宋" w:cs="仿宋"/>
          <w:spacing w:val="5"/>
          <w:sz w:val="30"/>
          <w:szCs w:val="30"/>
          <w:highlight w:val="none"/>
          <w:lang w:val="en-US" w:eastAsia="zh-CN"/>
        </w:rPr>
        <w:t>使用效益评价考核工作；</w:t>
      </w:r>
    </w:p>
    <w:p w14:paraId="73F8A9A3">
      <w:pPr>
        <w:keepNext w:val="0"/>
        <w:keepLines w:val="0"/>
        <w:pageBreakBefore w:val="0"/>
        <w:widowControl w:val="0"/>
        <w:kinsoku w:val="0"/>
        <w:wordWrap/>
        <w:overflowPunct w:val="0"/>
        <w:topLinePunct w:val="0"/>
        <w:autoSpaceDE w:val="0"/>
        <w:autoSpaceDN w:val="0"/>
        <w:bidi w:val="0"/>
        <w:adjustRightInd w:val="0"/>
        <w:snapToGrid w:val="0"/>
        <w:spacing w:line="360" w:lineRule="auto"/>
        <w:ind w:firstLine="620" w:firstLineChars="200"/>
        <w:jc w:val="both"/>
        <w:textAlignment w:val="baseline"/>
        <w:rPr>
          <w:rFonts w:hint="eastAsia" w:ascii="仿宋" w:hAnsi="仿宋" w:eastAsia="仿宋" w:cs="仿宋"/>
          <w:spacing w:val="5"/>
          <w:sz w:val="30"/>
          <w:szCs w:val="30"/>
          <w:lang w:val="en-US" w:eastAsia="zh-CN"/>
        </w:rPr>
      </w:pPr>
      <w:r>
        <w:rPr>
          <w:rFonts w:hint="eastAsia" w:ascii="仿宋" w:hAnsi="仿宋" w:eastAsia="仿宋" w:cs="仿宋"/>
          <w:spacing w:val="5"/>
          <w:sz w:val="30"/>
          <w:szCs w:val="30"/>
          <w:highlight w:val="none"/>
          <w:lang w:val="en-US" w:eastAsia="zh-CN"/>
        </w:rPr>
        <w:t>（三）财务处负责大型仪器设备服务收费标准的审核，服务收入的结算及分配管理，服务收入资金的使用监督等，并协助做好</w:t>
      </w:r>
      <w:r>
        <w:rPr>
          <w:rFonts w:hint="eastAsia" w:ascii="仿宋" w:hAnsi="仿宋" w:eastAsia="仿宋" w:cs="仿宋"/>
          <w:spacing w:val="5"/>
          <w:sz w:val="30"/>
          <w:szCs w:val="30"/>
        </w:rPr>
        <w:t>大型仪器设备</w:t>
      </w:r>
      <w:r>
        <w:rPr>
          <w:rFonts w:hint="eastAsia" w:ascii="仿宋" w:hAnsi="仿宋" w:eastAsia="仿宋" w:cs="仿宋"/>
          <w:spacing w:val="5"/>
          <w:sz w:val="30"/>
          <w:szCs w:val="30"/>
          <w:lang w:val="en-US" w:eastAsia="zh-CN"/>
        </w:rPr>
        <w:t>使用效益评价考核工作；</w:t>
      </w:r>
    </w:p>
    <w:p w14:paraId="17A4F478">
      <w:pPr>
        <w:keepNext w:val="0"/>
        <w:keepLines w:val="0"/>
        <w:pageBreakBefore w:val="0"/>
        <w:widowControl w:val="0"/>
        <w:kinsoku w:val="0"/>
        <w:wordWrap/>
        <w:overflowPunct w:val="0"/>
        <w:topLinePunct w:val="0"/>
        <w:autoSpaceDE w:val="0"/>
        <w:autoSpaceDN w:val="0"/>
        <w:bidi w:val="0"/>
        <w:adjustRightInd w:val="0"/>
        <w:snapToGrid w:val="0"/>
        <w:spacing w:line="360" w:lineRule="auto"/>
        <w:ind w:firstLine="620" w:firstLineChars="200"/>
        <w:jc w:val="both"/>
        <w:textAlignment w:val="baseline"/>
        <w:rPr>
          <w:rFonts w:hint="eastAsia" w:ascii="仿宋" w:hAnsi="仿宋" w:eastAsia="仿宋" w:cs="仿宋"/>
          <w:spacing w:val="5"/>
          <w:sz w:val="30"/>
          <w:szCs w:val="30"/>
          <w:lang w:val="en-US" w:eastAsia="zh-CN"/>
        </w:rPr>
      </w:pPr>
      <w:r>
        <w:rPr>
          <w:rFonts w:hint="eastAsia" w:ascii="仿宋" w:hAnsi="仿宋" w:eastAsia="仿宋" w:cs="仿宋"/>
          <w:spacing w:val="5"/>
          <w:sz w:val="30"/>
          <w:szCs w:val="30"/>
          <w:lang w:val="en-US" w:eastAsia="zh-CN"/>
        </w:rPr>
        <w:t>（四）审计处负责对大型仪器设备使用共享相关工作进行审计监督。</w:t>
      </w:r>
    </w:p>
    <w:p w14:paraId="4CC2EFC6">
      <w:pPr>
        <w:keepNext w:val="0"/>
        <w:keepLines w:val="0"/>
        <w:pageBreakBefore w:val="0"/>
        <w:widowControl w:val="0"/>
        <w:kinsoku w:val="0"/>
        <w:wordWrap/>
        <w:overflowPunct w:val="0"/>
        <w:topLinePunct w:val="0"/>
        <w:autoSpaceDE w:val="0"/>
        <w:autoSpaceDN w:val="0"/>
        <w:bidi w:val="0"/>
        <w:adjustRightInd w:val="0"/>
        <w:snapToGrid w:val="0"/>
        <w:spacing w:line="360" w:lineRule="auto"/>
        <w:ind w:firstLine="626" w:firstLineChars="200"/>
        <w:jc w:val="both"/>
        <w:textAlignment w:val="baseline"/>
        <w:rPr>
          <w:rFonts w:hint="eastAsia" w:ascii="仿宋" w:hAnsi="仿宋" w:eastAsia="仿宋" w:cs="仿宋"/>
          <w:spacing w:val="5"/>
          <w:sz w:val="30"/>
          <w:szCs w:val="30"/>
          <w:highlight w:val="none"/>
        </w:rPr>
      </w:pPr>
      <w:r>
        <w:rPr>
          <w:rFonts w:hint="eastAsia" w:ascii="仿宋" w:hAnsi="仿宋" w:eastAsia="仿宋" w:cs="仿宋"/>
          <w:b/>
          <w:bCs/>
          <w:spacing w:val="6"/>
          <w:sz w:val="30"/>
          <w:szCs w:val="30"/>
          <w:highlight w:val="none"/>
          <w:lang w:val="en-US" w:eastAsia="zh-CN"/>
        </w:rPr>
        <w:t>第七条</w:t>
      </w:r>
      <w:r>
        <w:rPr>
          <w:rFonts w:hint="eastAsia" w:ascii="仿宋" w:hAnsi="仿宋" w:eastAsia="仿宋" w:cs="仿宋"/>
          <w:spacing w:val="5"/>
          <w:sz w:val="30"/>
          <w:szCs w:val="30"/>
          <w:highlight w:val="none"/>
        </w:rPr>
        <w:t xml:space="preserve"> </w:t>
      </w:r>
      <w:r>
        <w:rPr>
          <w:rFonts w:hint="eastAsia" w:ascii="仿宋" w:hAnsi="仿宋" w:eastAsia="仿宋" w:cs="仿宋"/>
          <w:spacing w:val="5"/>
          <w:sz w:val="30"/>
          <w:szCs w:val="30"/>
          <w:highlight w:val="none"/>
          <w:lang w:val="en-US" w:eastAsia="zh-CN"/>
        </w:rPr>
        <w:t>二级单位是</w:t>
      </w:r>
      <w:r>
        <w:rPr>
          <w:rFonts w:hint="eastAsia" w:ascii="仿宋" w:hAnsi="仿宋" w:eastAsia="仿宋" w:cs="仿宋"/>
          <w:spacing w:val="5"/>
          <w:sz w:val="30"/>
          <w:szCs w:val="30"/>
          <w:highlight w:val="none"/>
        </w:rPr>
        <w:t>大型仪器设备管理</w:t>
      </w:r>
      <w:r>
        <w:rPr>
          <w:rFonts w:hint="eastAsia" w:ascii="仿宋" w:hAnsi="仿宋" w:eastAsia="仿宋" w:cs="仿宋"/>
          <w:spacing w:val="5"/>
          <w:sz w:val="30"/>
          <w:szCs w:val="30"/>
          <w:highlight w:val="none"/>
          <w:lang w:val="en-US" w:eastAsia="zh-CN"/>
        </w:rPr>
        <w:t>与使用</w:t>
      </w:r>
      <w:r>
        <w:rPr>
          <w:rFonts w:hint="eastAsia" w:ascii="仿宋" w:hAnsi="仿宋" w:eastAsia="仿宋" w:cs="仿宋"/>
          <w:spacing w:val="5"/>
          <w:sz w:val="30"/>
          <w:szCs w:val="30"/>
          <w:highlight w:val="none"/>
        </w:rPr>
        <w:t>的主体责任部门</w:t>
      </w:r>
      <w:r>
        <w:rPr>
          <w:rFonts w:hint="eastAsia" w:ascii="仿宋" w:hAnsi="仿宋" w:eastAsia="仿宋" w:cs="仿宋"/>
          <w:spacing w:val="5"/>
          <w:sz w:val="30"/>
          <w:szCs w:val="30"/>
          <w:highlight w:val="none"/>
          <w:lang w:eastAsia="zh-CN"/>
        </w:rPr>
        <w:t>，</w:t>
      </w:r>
      <w:r>
        <w:rPr>
          <w:rFonts w:hint="eastAsia" w:ascii="仿宋" w:hAnsi="仿宋" w:eastAsia="仿宋" w:cs="仿宋"/>
          <w:spacing w:val="5"/>
          <w:sz w:val="30"/>
          <w:szCs w:val="30"/>
          <w:highlight w:val="none"/>
          <w:lang w:val="en-US" w:eastAsia="zh-CN"/>
        </w:rPr>
        <w:t>其</w:t>
      </w:r>
      <w:r>
        <w:rPr>
          <w:rFonts w:hint="eastAsia" w:ascii="仿宋" w:hAnsi="仿宋" w:eastAsia="仿宋" w:cs="仿宋"/>
          <w:spacing w:val="5"/>
          <w:sz w:val="30"/>
          <w:szCs w:val="30"/>
          <w:highlight w:val="none"/>
        </w:rPr>
        <w:t>主要工作职责</w:t>
      </w:r>
      <w:r>
        <w:rPr>
          <w:rFonts w:hint="eastAsia" w:ascii="仿宋" w:hAnsi="仿宋" w:eastAsia="仿宋" w:cs="仿宋"/>
          <w:spacing w:val="5"/>
          <w:sz w:val="30"/>
          <w:szCs w:val="30"/>
          <w:highlight w:val="none"/>
          <w:lang w:val="en-US" w:eastAsia="zh-CN"/>
        </w:rPr>
        <w:t>是</w:t>
      </w:r>
      <w:r>
        <w:rPr>
          <w:rFonts w:hint="eastAsia" w:ascii="仿宋" w:hAnsi="仿宋" w:eastAsia="仿宋" w:cs="仿宋"/>
          <w:spacing w:val="5"/>
          <w:sz w:val="30"/>
          <w:szCs w:val="30"/>
          <w:highlight w:val="none"/>
        </w:rPr>
        <w:t>：</w:t>
      </w:r>
    </w:p>
    <w:p w14:paraId="6AEC3F8F">
      <w:pPr>
        <w:keepNext w:val="0"/>
        <w:keepLines w:val="0"/>
        <w:pageBreakBefore w:val="0"/>
        <w:widowControl w:val="0"/>
        <w:kinsoku w:val="0"/>
        <w:wordWrap/>
        <w:overflowPunct w:val="0"/>
        <w:topLinePunct w:val="0"/>
        <w:autoSpaceDE w:val="0"/>
        <w:autoSpaceDN w:val="0"/>
        <w:bidi w:val="0"/>
        <w:adjustRightInd w:val="0"/>
        <w:snapToGrid w:val="0"/>
        <w:spacing w:line="360" w:lineRule="auto"/>
        <w:ind w:firstLine="620" w:firstLineChars="200"/>
        <w:jc w:val="both"/>
        <w:textAlignment w:val="baseline"/>
        <w:rPr>
          <w:rFonts w:hint="eastAsia" w:ascii="仿宋" w:hAnsi="仿宋" w:eastAsia="仿宋" w:cs="仿宋"/>
          <w:spacing w:val="5"/>
          <w:sz w:val="30"/>
          <w:szCs w:val="30"/>
          <w:highlight w:val="none"/>
        </w:rPr>
      </w:pPr>
      <w:r>
        <w:rPr>
          <w:rFonts w:hint="eastAsia" w:ascii="仿宋" w:hAnsi="仿宋" w:eastAsia="仿宋" w:cs="仿宋"/>
          <w:spacing w:val="5"/>
          <w:sz w:val="30"/>
          <w:szCs w:val="30"/>
          <w:highlight w:val="none"/>
          <w:lang w:eastAsia="zh-CN"/>
        </w:rPr>
        <w:t>（</w:t>
      </w:r>
      <w:r>
        <w:rPr>
          <w:rFonts w:hint="eastAsia" w:ascii="仿宋" w:hAnsi="仿宋" w:eastAsia="仿宋" w:cs="仿宋"/>
          <w:spacing w:val="5"/>
          <w:sz w:val="30"/>
          <w:szCs w:val="30"/>
          <w:highlight w:val="none"/>
        </w:rPr>
        <w:t>一</w:t>
      </w:r>
      <w:r>
        <w:rPr>
          <w:rFonts w:hint="eastAsia" w:ascii="仿宋" w:hAnsi="仿宋" w:eastAsia="仿宋" w:cs="仿宋"/>
          <w:spacing w:val="5"/>
          <w:sz w:val="30"/>
          <w:szCs w:val="30"/>
          <w:highlight w:val="none"/>
          <w:lang w:eastAsia="zh-CN"/>
        </w:rPr>
        <w:t>）</w:t>
      </w:r>
      <w:r>
        <w:rPr>
          <w:rFonts w:hint="eastAsia" w:ascii="仿宋" w:hAnsi="仿宋" w:eastAsia="仿宋" w:cs="仿宋"/>
          <w:spacing w:val="5"/>
          <w:sz w:val="30"/>
          <w:szCs w:val="30"/>
          <w:highlight w:val="none"/>
          <w:lang w:val="en-US" w:eastAsia="zh-CN"/>
        </w:rPr>
        <w:t>落实</w:t>
      </w:r>
      <w:r>
        <w:rPr>
          <w:rFonts w:hint="eastAsia" w:ascii="仿宋" w:hAnsi="仿宋" w:eastAsia="仿宋" w:cs="仿宋"/>
          <w:spacing w:val="5"/>
          <w:sz w:val="30"/>
          <w:szCs w:val="30"/>
          <w:highlight w:val="none"/>
        </w:rPr>
        <w:t>学校大型仪器设备管理制度，</w:t>
      </w:r>
      <w:r>
        <w:rPr>
          <w:rFonts w:hint="eastAsia" w:ascii="仿宋" w:hAnsi="仿宋" w:eastAsia="仿宋" w:cs="仿宋"/>
          <w:spacing w:val="5"/>
          <w:sz w:val="30"/>
          <w:szCs w:val="30"/>
          <w:highlight w:val="none"/>
          <w:lang w:val="en-US" w:eastAsia="zh-CN"/>
        </w:rPr>
        <w:t>组建</w:t>
      </w:r>
      <w:r>
        <w:rPr>
          <w:rFonts w:hint="eastAsia" w:ascii="仿宋" w:hAnsi="仿宋" w:eastAsia="仿宋" w:cs="仿宋"/>
          <w:spacing w:val="5"/>
          <w:sz w:val="30"/>
          <w:szCs w:val="30"/>
          <w:highlight w:val="none"/>
        </w:rPr>
        <w:t>大型仪器设备专业技术管理团队</w:t>
      </w:r>
      <w:r>
        <w:rPr>
          <w:rFonts w:hint="eastAsia" w:ascii="仿宋" w:hAnsi="仿宋" w:eastAsia="仿宋" w:cs="仿宋"/>
          <w:spacing w:val="5"/>
          <w:sz w:val="30"/>
          <w:szCs w:val="30"/>
          <w:highlight w:val="none"/>
          <w:lang w:eastAsia="zh-CN"/>
        </w:rPr>
        <w:t>，</w:t>
      </w:r>
      <w:r>
        <w:rPr>
          <w:rFonts w:hint="eastAsia" w:ascii="仿宋" w:hAnsi="仿宋" w:eastAsia="仿宋" w:cs="仿宋"/>
          <w:spacing w:val="5"/>
          <w:sz w:val="30"/>
          <w:szCs w:val="30"/>
          <w:highlight w:val="none"/>
        </w:rPr>
        <w:t>统筹本</w:t>
      </w:r>
      <w:r>
        <w:rPr>
          <w:rFonts w:hint="eastAsia" w:ascii="仿宋" w:hAnsi="仿宋" w:eastAsia="仿宋" w:cs="仿宋"/>
          <w:spacing w:val="5"/>
          <w:sz w:val="30"/>
          <w:szCs w:val="30"/>
          <w:highlight w:val="none"/>
          <w:lang w:val="en-US" w:eastAsia="zh-CN"/>
        </w:rPr>
        <w:t>单位</w:t>
      </w:r>
      <w:r>
        <w:rPr>
          <w:rFonts w:hint="eastAsia" w:ascii="仿宋" w:hAnsi="仿宋" w:eastAsia="仿宋" w:cs="仿宋"/>
          <w:spacing w:val="5"/>
          <w:sz w:val="30"/>
          <w:szCs w:val="30"/>
          <w:highlight w:val="none"/>
        </w:rPr>
        <w:t>大型仪器设备管理；</w:t>
      </w:r>
    </w:p>
    <w:p w14:paraId="7C6C92F4">
      <w:pPr>
        <w:keepNext w:val="0"/>
        <w:keepLines w:val="0"/>
        <w:pageBreakBefore w:val="0"/>
        <w:widowControl w:val="0"/>
        <w:kinsoku w:val="0"/>
        <w:wordWrap/>
        <w:overflowPunct w:val="0"/>
        <w:topLinePunct w:val="0"/>
        <w:autoSpaceDE w:val="0"/>
        <w:autoSpaceDN w:val="0"/>
        <w:bidi w:val="0"/>
        <w:adjustRightInd w:val="0"/>
        <w:snapToGrid w:val="0"/>
        <w:spacing w:line="360" w:lineRule="auto"/>
        <w:ind w:firstLine="620" w:firstLineChars="200"/>
        <w:jc w:val="both"/>
        <w:textAlignment w:val="baseline"/>
        <w:rPr>
          <w:rFonts w:hint="eastAsia" w:ascii="仿宋" w:hAnsi="仿宋" w:eastAsia="仿宋" w:cs="仿宋"/>
          <w:spacing w:val="5"/>
          <w:sz w:val="30"/>
          <w:szCs w:val="30"/>
          <w:highlight w:val="none"/>
        </w:rPr>
      </w:pPr>
      <w:r>
        <w:rPr>
          <w:rFonts w:hint="eastAsia" w:ascii="仿宋" w:hAnsi="仿宋" w:eastAsia="仿宋" w:cs="仿宋"/>
          <w:spacing w:val="5"/>
          <w:sz w:val="30"/>
          <w:szCs w:val="30"/>
          <w:highlight w:val="none"/>
          <w:lang w:eastAsia="zh-CN"/>
        </w:rPr>
        <w:t>（</w:t>
      </w:r>
      <w:r>
        <w:rPr>
          <w:rFonts w:hint="eastAsia" w:ascii="仿宋" w:hAnsi="仿宋" w:eastAsia="仿宋" w:cs="仿宋"/>
          <w:spacing w:val="5"/>
          <w:sz w:val="30"/>
          <w:szCs w:val="30"/>
          <w:highlight w:val="none"/>
        </w:rPr>
        <w:t>二</w:t>
      </w:r>
      <w:r>
        <w:rPr>
          <w:rFonts w:hint="eastAsia" w:ascii="仿宋" w:hAnsi="仿宋" w:eastAsia="仿宋" w:cs="仿宋"/>
          <w:spacing w:val="5"/>
          <w:sz w:val="30"/>
          <w:szCs w:val="30"/>
          <w:highlight w:val="none"/>
          <w:lang w:eastAsia="zh-CN"/>
        </w:rPr>
        <w:t>）</w:t>
      </w:r>
      <w:r>
        <w:rPr>
          <w:rFonts w:hint="eastAsia" w:ascii="仿宋" w:hAnsi="仿宋" w:eastAsia="仿宋" w:cs="仿宋"/>
          <w:spacing w:val="5"/>
          <w:sz w:val="30"/>
          <w:szCs w:val="30"/>
          <w:highlight w:val="none"/>
        </w:rPr>
        <w:t>建立</w:t>
      </w:r>
      <w:r>
        <w:rPr>
          <w:rFonts w:hint="eastAsia" w:ascii="仿宋" w:hAnsi="仿宋" w:eastAsia="仿宋" w:cs="仿宋"/>
          <w:spacing w:val="5"/>
          <w:sz w:val="30"/>
          <w:szCs w:val="30"/>
          <w:highlight w:val="none"/>
          <w:lang w:val="en-US" w:eastAsia="zh-CN"/>
        </w:rPr>
        <w:t>本单位</w:t>
      </w:r>
      <w:r>
        <w:rPr>
          <w:rFonts w:hint="eastAsia" w:ascii="仿宋" w:hAnsi="仿宋" w:eastAsia="仿宋" w:cs="仿宋"/>
          <w:spacing w:val="5"/>
          <w:sz w:val="30"/>
          <w:szCs w:val="30"/>
          <w:highlight w:val="none"/>
        </w:rPr>
        <w:t>大型仪器设备管理领导小组，确定分管领导，配备专业的大型仪器设备管理人员；</w:t>
      </w:r>
    </w:p>
    <w:p w14:paraId="305285C5">
      <w:pPr>
        <w:keepNext w:val="0"/>
        <w:keepLines w:val="0"/>
        <w:pageBreakBefore w:val="0"/>
        <w:widowControl w:val="0"/>
        <w:kinsoku w:val="0"/>
        <w:wordWrap/>
        <w:overflowPunct w:val="0"/>
        <w:topLinePunct w:val="0"/>
        <w:autoSpaceDE w:val="0"/>
        <w:autoSpaceDN w:val="0"/>
        <w:bidi w:val="0"/>
        <w:adjustRightInd w:val="0"/>
        <w:snapToGrid w:val="0"/>
        <w:spacing w:line="360" w:lineRule="auto"/>
        <w:ind w:firstLine="620" w:firstLineChars="200"/>
        <w:jc w:val="both"/>
        <w:textAlignment w:val="baseline"/>
        <w:rPr>
          <w:rFonts w:hint="eastAsia" w:ascii="仿宋" w:hAnsi="仿宋" w:eastAsia="仿宋" w:cs="仿宋"/>
          <w:spacing w:val="5"/>
          <w:sz w:val="30"/>
          <w:szCs w:val="30"/>
          <w:highlight w:val="none"/>
        </w:rPr>
      </w:pPr>
      <w:r>
        <w:rPr>
          <w:rFonts w:hint="eastAsia" w:ascii="仿宋" w:hAnsi="仿宋" w:eastAsia="仿宋" w:cs="仿宋"/>
          <w:spacing w:val="5"/>
          <w:sz w:val="30"/>
          <w:szCs w:val="30"/>
          <w:highlight w:val="none"/>
          <w:lang w:eastAsia="zh-CN"/>
        </w:rPr>
        <w:t>（</w:t>
      </w:r>
      <w:r>
        <w:rPr>
          <w:rFonts w:hint="eastAsia" w:ascii="仿宋" w:hAnsi="仿宋" w:eastAsia="仿宋" w:cs="仿宋"/>
          <w:spacing w:val="5"/>
          <w:sz w:val="30"/>
          <w:szCs w:val="30"/>
          <w:highlight w:val="none"/>
          <w:lang w:val="en-US" w:eastAsia="zh-CN"/>
        </w:rPr>
        <w:t>三）</w:t>
      </w:r>
      <w:r>
        <w:rPr>
          <w:rFonts w:hint="eastAsia" w:ascii="仿宋" w:hAnsi="仿宋" w:eastAsia="仿宋" w:cs="仿宋"/>
          <w:spacing w:val="5"/>
          <w:sz w:val="30"/>
          <w:szCs w:val="30"/>
          <w:highlight w:val="none"/>
        </w:rPr>
        <w:t>组织本</w:t>
      </w:r>
      <w:r>
        <w:rPr>
          <w:rFonts w:hint="eastAsia" w:ascii="仿宋" w:hAnsi="仿宋" w:eastAsia="仿宋" w:cs="仿宋"/>
          <w:spacing w:val="5"/>
          <w:sz w:val="30"/>
          <w:szCs w:val="30"/>
          <w:highlight w:val="none"/>
          <w:lang w:val="en-US" w:eastAsia="zh-CN"/>
        </w:rPr>
        <w:t>单位</w:t>
      </w:r>
      <w:r>
        <w:rPr>
          <w:rFonts w:hint="eastAsia" w:ascii="仿宋" w:hAnsi="仿宋" w:eastAsia="仿宋" w:cs="仿宋"/>
          <w:spacing w:val="17"/>
          <w:sz w:val="30"/>
          <w:szCs w:val="30"/>
          <w:highlight w:val="none"/>
          <w:lang w:val="en-US" w:eastAsia="zh-CN"/>
        </w:rPr>
        <w:t>单台（套）价值低于</w:t>
      </w:r>
      <w:r>
        <w:rPr>
          <w:rFonts w:hint="eastAsia" w:ascii="仿宋" w:hAnsi="仿宋" w:eastAsia="仿宋" w:cs="仿宋"/>
          <w:spacing w:val="5"/>
          <w:sz w:val="30"/>
          <w:szCs w:val="30"/>
          <w:highlight w:val="none"/>
        </w:rPr>
        <w:t>50万元的大型仪器设备购置可行性论证；</w:t>
      </w:r>
    </w:p>
    <w:p w14:paraId="062FFE7D">
      <w:pPr>
        <w:keepNext w:val="0"/>
        <w:keepLines w:val="0"/>
        <w:pageBreakBefore w:val="0"/>
        <w:widowControl w:val="0"/>
        <w:kinsoku w:val="0"/>
        <w:wordWrap/>
        <w:overflowPunct w:val="0"/>
        <w:topLinePunct w:val="0"/>
        <w:autoSpaceDE w:val="0"/>
        <w:autoSpaceDN w:val="0"/>
        <w:bidi w:val="0"/>
        <w:adjustRightInd w:val="0"/>
        <w:snapToGrid w:val="0"/>
        <w:spacing w:line="360" w:lineRule="auto"/>
        <w:ind w:firstLine="620" w:firstLineChars="200"/>
        <w:jc w:val="both"/>
        <w:textAlignment w:val="baseline"/>
        <w:rPr>
          <w:rFonts w:hint="eastAsia" w:ascii="仿宋" w:hAnsi="仿宋" w:eastAsia="仿宋" w:cs="仿宋"/>
          <w:spacing w:val="5"/>
          <w:sz w:val="30"/>
          <w:szCs w:val="30"/>
          <w:highlight w:val="none"/>
          <w:lang w:eastAsia="zh-CN"/>
        </w:rPr>
      </w:pPr>
      <w:r>
        <w:rPr>
          <w:rFonts w:hint="eastAsia" w:ascii="仿宋" w:hAnsi="仿宋" w:eastAsia="仿宋" w:cs="仿宋"/>
          <w:spacing w:val="5"/>
          <w:sz w:val="30"/>
          <w:szCs w:val="30"/>
          <w:highlight w:val="none"/>
          <w:lang w:eastAsia="zh-CN"/>
        </w:rPr>
        <w:t>（</w:t>
      </w:r>
      <w:r>
        <w:rPr>
          <w:rFonts w:hint="eastAsia" w:ascii="仿宋" w:hAnsi="仿宋" w:eastAsia="仿宋" w:cs="仿宋"/>
          <w:spacing w:val="5"/>
          <w:sz w:val="30"/>
          <w:szCs w:val="30"/>
          <w:highlight w:val="none"/>
          <w:lang w:val="en-US" w:eastAsia="zh-CN"/>
        </w:rPr>
        <w:t>四）</w:t>
      </w:r>
      <w:r>
        <w:rPr>
          <w:rFonts w:hint="eastAsia" w:ascii="仿宋" w:hAnsi="仿宋" w:eastAsia="仿宋" w:cs="仿宋"/>
          <w:spacing w:val="5"/>
          <w:sz w:val="30"/>
          <w:szCs w:val="30"/>
          <w:highlight w:val="none"/>
        </w:rPr>
        <w:t>负责本</w:t>
      </w:r>
      <w:r>
        <w:rPr>
          <w:rFonts w:hint="eastAsia" w:ascii="仿宋" w:hAnsi="仿宋" w:eastAsia="仿宋" w:cs="仿宋"/>
          <w:spacing w:val="5"/>
          <w:sz w:val="30"/>
          <w:szCs w:val="30"/>
          <w:highlight w:val="none"/>
          <w:lang w:val="en-US" w:eastAsia="zh-CN"/>
        </w:rPr>
        <w:t>单位</w:t>
      </w:r>
      <w:r>
        <w:rPr>
          <w:rFonts w:hint="eastAsia" w:ascii="仿宋" w:hAnsi="仿宋" w:eastAsia="仿宋" w:cs="仿宋"/>
          <w:spacing w:val="5"/>
          <w:sz w:val="30"/>
          <w:szCs w:val="30"/>
          <w:highlight w:val="none"/>
        </w:rPr>
        <w:t>大型仪器设备日常管理</w:t>
      </w:r>
      <w:r>
        <w:rPr>
          <w:rFonts w:hint="eastAsia" w:ascii="仿宋" w:hAnsi="仿宋" w:eastAsia="仿宋" w:cs="仿宋"/>
          <w:spacing w:val="5"/>
          <w:sz w:val="30"/>
          <w:szCs w:val="30"/>
          <w:highlight w:val="none"/>
          <w:lang w:eastAsia="zh-CN"/>
        </w:rPr>
        <w:t>、</w:t>
      </w:r>
      <w:r>
        <w:rPr>
          <w:rFonts w:hint="eastAsia" w:ascii="仿宋" w:hAnsi="仿宋" w:eastAsia="仿宋" w:cs="仿宋"/>
          <w:spacing w:val="5"/>
          <w:sz w:val="30"/>
          <w:szCs w:val="30"/>
          <w:highlight w:val="none"/>
        </w:rPr>
        <w:t>开放共享</w:t>
      </w:r>
      <w:r>
        <w:rPr>
          <w:rFonts w:hint="eastAsia" w:ascii="仿宋" w:hAnsi="仿宋" w:eastAsia="仿宋" w:cs="仿宋"/>
          <w:spacing w:val="5"/>
          <w:sz w:val="30"/>
          <w:szCs w:val="30"/>
          <w:highlight w:val="none"/>
          <w:lang w:val="en-US" w:eastAsia="zh-CN"/>
        </w:rPr>
        <w:t>工作。</w:t>
      </w:r>
    </w:p>
    <w:p w14:paraId="4C85E820">
      <w:pPr>
        <w:keepNext w:val="0"/>
        <w:keepLines w:val="0"/>
        <w:pageBreakBefore w:val="0"/>
        <w:widowControl w:val="0"/>
        <w:kinsoku w:val="0"/>
        <w:wordWrap/>
        <w:overflowPunct w:val="0"/>
        <w:topLinePunct w:val="0"/>
        <w:autoSpaceDE w:val="0"/>
        <w:autoSpaceDN w:val="0"/>
        <w:bidi w:val="0"/>
        <w:adjustRightInd w:val="0"/>
        <w:snapToGrid w:val="0"/>
        <w:spacing w:line="360" w:lineRule="auto"/>
        <w:ind w:left="0" w:firstLine="0" w:firstLineChars="0"/>
        <w:jc w:val="center"/>
        <w:textAlignment w:val="baseline"/>
        <w:outlineLvl w:val="0"/>
        <w:rPr>
          <w:rFonts w:hint="eastAsia" w:ascii="仿宋" w:hAnsi="仿宋" w:eastAsia="仿宋" w:cs="仿宋"/>
          <w:b/>
          <w:bCs/>
          <w:spacing w:val="25"/>
          <w:sz w:val="30"/>
          <w:szCs w:val="30"/>
        </w:rPr>
      </w:pPr>
      <w:r>
        <w:rPr>
          <w:rFonts w:hint="eastAsia" w:ascii="仿宋" w:hAnsi="仿宋" w:eastAsia="仿宋" w:cs="仿宋"/>
          <w:b/>
          <w:bCs/>
          <w:spacing w:val="25"/>
          <w:sz w:val="30"/>
          <w:szCs w:val="30"/>
        </w:rPr>
        <w:t xml:space="preserve">第三章  </w:t>
      </w:r>
      <w:r>
        <w:rPr>
          <w:rFonts w:hint="eastAsia" w:ascii="仿宋" w:hAnsi="仿宋" w:eastAsia="仿宋" w:cs="仿宋"/>
          <w:b/>
          <w:bCs/>
          <w:spacing w:val="25"/>
          <w:sz w:val="30"/>
          <w:szCs w:val="30"/>
          <w:lang w:val="en-US" w:eastAsia="zh-CN"/>
        </w:rPr>
        <w:t>立项</w:t>
      </w:r>
      <w:r>
        <w:rPr>
          <w:rFonts w:hint="eastAsia" w:ascii="仿宋" w:hAnsi="仿宋" w:eastAsia="仿宋" w:cs="仿宋"/>
          <w:b/>
          <w:bCs/>
          <w:spacing w:val="25"/>
          <w:sz w:val="30"/>
          <w:szCs w:val="30"/>
        </w:rPr>
        <w:t>论证</w:t>
      </w:r>
    </w:p>
    <w:p w14:paraId="300F9F0F">
      <w:pPr>
        <w:keepNext w:val="0"/>
        <w:keepLines w:val="0"/>
        <w:pageBreakBefore w:val="0"/>
        <w:widowControl w:val="0"/>
        <w:kinsoku w:val="0"/>
        <w:wordWrap/>
        <w:overflowPunct w:val="0"/>
        <w:topLinePunct w:val="0"/>
        <w:autoSpaceDE w:val="0"/>
        <w:autoSpaceDN w:val="0"/>
        <w:bidi w:val="0"/>
        <w:adjustRightInd w:val="0"/>
        <w:snapToGrid w:val="0"/>
        <w:spacing w:line="360" w:lineRule="auto"/>
        <w:ind w:right="0" w:firstLine="626" w:firstLineChars="200"/>
        <w:jc w:val="both"/>
        <w:textAlignment w:val="baseline"/>
        <w:rPr>
          <w:rFonts w:hint="eastAsia" w:ascii="仿宋" w:hAnsi="仿宋" w:eastAsia="仿宋" w:cs="仿宋"/>
          <w:spacing w:val="5"/>
          <w:sz w:val="30"/>
          <w:szCs w:val="30"/>
          <w:lang w:val="en-US" w:eastAsia="zh-CN"/>
        </w:rPr>
      </w:pPr>
      <w:r>
        <w:rPr>
          <w:rFonts w:hint="eastAsia" w:ascii="仿宋" w:hAnsi="仿宋" w:eastAsia="仿宋" w:cs="仿宋"/>
          <w:b/>
          <w:bCs/>
          <w:spacing w:val="6"/>
          <w:sz w:val="30"/>
          <w:szCs w:val="30"/>
          <w:lang w:val="en-US" w:eastAsia="zh-CN"/>
        </w:rPr>
        <w:t xml:space="preserve">第八条 </w:t>
      </w:r>
      <w:r>
        <w:rPr>
          <w:rFonts w:hint="eastAsia" w:ascii="仿宋" w:hAnsi="仿宋" w:eastAsia="仿宋" w:cs="仿宋"/>
          <w:spacing w:val="5"/>
          <w:sz w:val="30"/>
          <w:szCs w:val="30"/>
        </w:rPr>
        <w:t>大型仪器设备</w:t>
      </w:r>
      <w:r>
        <w:rPr>
          <w:rFonts w:hint="eastAsia" w:ascii="仿宋" w:hAnsi="仿宋" w:eastAsia="仿宋" w:cs="仿宋"/>
          <w:spacing w:val="5"/>
          <w:sz w:val="30"/>
          <w:szCs w:val="30"/>
          <w:lang w:val="en-US" w:eastAsia="zh-CN"/>
        </w:rPr>
        <w:t>购置可行性论证（以下简称：大仪论证）是建设项目纳入学校项目库的前置条件，二级单位在项目申报中涉及大型仪器设备购置的应提供大仪论证材料，经归口业务管理部门组织评审后，纳入项目库。</w:t>
      </w:r>
    </w:p>
    <w:p w14:paraId="3BDD03BA">
      <w:pPr>
        <w:keepNext w:val="0"/>
        <w:keepLines w:val="0"/>
        <w:pageBreakBefore w:val="0"/>
        <w:widowControl w:val="0"/>
        <w:kinsoku w:val="0"/>
        <w:wordWrap/>
        <w:overflowPunct w:val="0"/>
        <w:topLinePunct w:val="0"/>
        <w:autoSpaceDE w:val="0"/>
        <w:autoSpaceDN w:val="0"/>
        <w:bidi w:val="0"/>
        <w:adjustRightInd w:val="0"/>
        <w:snapToGrid w:val="0"/>
        <w:spacing w:line="360" w:lineRule="auto"/>
        <w:ind w:right="0" w:firstLine="626" w:firstLineChars="200"/>
        <w:jc w:val="both"/>
        <w:textAlignment w:val="baseline"/>
        <w:rPr>
          <w:rFonts w:hint="eastAsia" w:ascii="仿宋" w:hAnsi="仿宋" w:eastAsia="仿宋" w:cs="仿宋"/>
          <w:spacing w:val="5"/>
          <w:sz w:val="30"/>
          <w:szCs w:val="30"/>
          <w:lang w:val="en-US" w:eastAsia="zh-CN"/>
        </w:rPr>
      </w:pPr>
      <w:r>
        <w:rPr>
          <w:rFonts w:hint="eastAsia" w:ascii="仿宋" w:hAnsi="仿宋" w:eastAsia="仿宋" w:cs="仿宋"/>
          <w:b/>
          <w:bCs/>
          <w:spacing w:val="6"/>
          <w:sz w:val="30"/>
          <w:szCs w:val="30"/>
          <w:lang w:val="en-US" w:eastAsia="zh-CN"/>
        </w:rPr>
        <w:t>第九条</w:t>
      </w:r>
      <w:r>
        <w:rPr>
          <w:rFonts w:hint="eastAsia" w:ascii="仿宋" w:hAnsi="仿宋" w:eastAsia="仿宋" w:cs="仿宋"/>
          <w:spacing w:val="5"/>
          <w:sz w:val="30"/>
          <w:szCs w:val="30"/>
          <w:lang w:val="en-US" w:eastAsia="zh-CN"/>
        </w:rPr>
        <w:t xml:space="preserve"> 二级单位应高度重视大仪论证工作，充分考虑现有教学科研设备条件、实验实训环境条件和师资条件，既要考虑科学性、前瞻性，又要考虑必要性、实用性、可行性，确保布局合理、技术先进、性能稳定，使用需求能够达到或超过定额机时，坚决避免小而全、重复建设等造成的资源浪费。 </w:t>
      </w:r>
    </w:p>
    <w:p w14:paraId="69B8A082">
      <w:pPr>
        <w:keepNext w:val="0"/>
        <w:keepLines w:val="0"/>
        <w:pageBreakBefore w:val="0"/>
        <w:widowControl w:val="0"/>
        <w:kinsoku w:val="0"/>
        <w:wordWrap/>
        <w:overflowPunct w:val="0"/>
        <w:topLinePunct w:val="0"/>
        <w:autoSpaceDE w:val="0"/>
        <w:autoSpaceDN w:val="0"/>
        <w:bidi w:val="0"/>
        <w:adjustRightInd w:val="0"/>
        <w:snapToGrid w:val="0"/>
        <w:spacing w:line="360" w:lineRule="auto"/>
        <w:ind w:right="0" w:firstLine="626" w:firstLineChars="200"/>
        <w:jc w:val="both"/>
        <w:textAlignment w:val="baseline"/>
        <w:rPr>
          <w:rFonts w:hint="eastAsia" w:ascii="仿宋" w:hAnsi="仿宋" w:eastAsia="仿宋" w:cs="仿宋"/>
          <w:spacing w:val="5"/>
          <w:sz w:val="30"/>
          <w:szCs w:val="30"/>
          <w:u w:val="none"/>
          <w:lang w:val="en-US" w:eastAsia="zh-CN"/>
        </w:rPr>
      </w:pPr>
      <w:r>
        <w:rPr>
          <w:rFonts w:hint="eastAsia" w:ascii="仿宋" w:hAnsi="仿宋" w:eastAsia="仿宋" w:cs="仿宋"/>
          <w:b/>
          <w:bCs/>
          <w:spacing w:val="6"/>
          <w:sz w:val="30"/>
          <w:szCs w:val="30"/>
          <w:lang w:val="en-US" w:eastAsia="zh-CN"/>
        </w:rPr>
        <w:t>第十条</w:t>
      </w:r>
      <w:r>
        <w:rPr>
          <w:rFonts w:hint="eastAsia" w:ascii="仿宋" w:hAnsi="仿宋" w:eastAsia="仿宋" w:cs="仿宋"/>
          <w:spacing w:val="5"/>
          <w:sz w:val="30"/>
          <w:szCs w:val="30"/>
          <w:u w:val="none"/>
          <w:lang w:val="en-US" w:eastAsia="zh-CN"/>
        </w:rPr>
        <w:t xml:space="preserve"> 大仪论证过程中，二级单位应对设备购置及后续使用的各项要素，包括场地、人员、基础设施等，作出清晰、详尽且切实可行的安排。一旦出现以下情形，大仪论证将判定为不通过：</w:t>
      </w:r>
    </w:p>
    <w:p w14:paraId="3B5B3288">
      <w:pPr>
        <w:keepNext w:val="0"/>
        <w:keepLines w:val="0"/>
        <w:pageBreakBefore w:val="0"/>
        <w:widowControl w:val="0"/>
        <w:kinsoku w:val="0"/>
        <w:wordWrap/>
        <w:overflowPunct w:val="0"/>
        <w:topLinePunct w:val="0"/>
        <w:autoSpaceDE w:val="0"/>
        <w:autoSpaceDN w:val="0"/>
        <w:bidi w:val="0"/>
        <w:adjustRightInd w:val="0"/>
        <w:snapToGrid w:val="0"/>
        <w:spacing w:line="360" w:lineRule="auto"/>
        <w:ind w:right="0" w:firstLine="620" w:firstLineChars="200"/>
        <w:jc w:val="both"/>
        <w:textAlignment w:val="baseline"/>
        <w:rPr>
          <w:rFonts w:hint="eastAsia" w:ascii="仿宋" w:hAnsi="仿宋" w:eastAsia="仿宋" w:cs="仿宋"/>
          <w:spacing w:val="5"/>
          <w:sz w:val="30"/>
          <w:szCs w:val="30"/>
          <w:u w:val="none"/>
          <w:lang w:val="en-US" w:eastAsia="zh-CN"/>
        </w:rPr>
      </w:pPr>
      <w:r>
        <w:rPr>
          <w:rFonts w:hint="eastAsia" w:ascii="仿宋" w:hAnsi="仿宋" w:eastAsia="仿宋" w:cs="仿宋"/>
          <w:spacing w:val="5"/>
          <w:sz w:val="30"/>
          <w:szCs w:val="30"/>
          <w:highlight w:val="none"/>
          <w:u w:val="none"/>
          <w:lang w:eastAsia="zh-CN"/>
        </w:rPr>
        <w:t>（</w:t>
      </w:r>
      <w:r>
        <w:rPr>
          <w:rFonts w:hint="eastAsia" w:ascii="仿宋" w:hAnsi="仿宋" w:eastAsia="仿宋" w:cs="仿宋"/>
          <w:spacing w:val="5"/>
          <w:sz w:val="30"/>
          <w:szCs w:val="30"/>
          <w:highlight w:val="none"/>
          <w:u w:val="none"/>
        </w:rPr>
        <w:t>一</w:t>
      </w:r>
      <w:r>
        <w:rPr>
          <w:rFonts w:hint="eastAsia" w:ascii="仿宋" w:hAnsi="仿宋" w:eastAsia="仿宋" w:cs="仿宋"/>
          <w:spacing w:val="5"/>
          <w:sz w:val="30"/>
          <w:szCs w:val="30"/>
          <w:highlight w:val="none"/>
          <w:u w:val="none"/>
          <w:lang w:eastAsia="zh-CN"/>
        </w:rPr>
        <w:t>）</w:t>
      </w:r>
      <w:r>
        <w:rPr>
          <w:rFonts w:hint="eastAsia" w:ascii="仿宋" w:hAnsi="仿宋" w:eastAsia="仿宋" w:cs="仿宋"/>
          <w:spacing w:val="5"/>
          <w:sz w:val="30"/>
          <w:szCs w:val="30"/>
          <w:u w:val="none"/>
          <w:lang w:val="en-US" w:eastAsia="zh-CN"/>
        </w:rPr>
        <w:t>在论证时，未能提供设备安装场地的有效落实证明，或场地的面积、空间结构、环境参数等物理条件，以及供电、供水、供气等配套基础设施，无法满足设备的基本安装与运行要求，致使设备长时间无法就位或正常运转。</w:t>
      </w:r>
    </w:p>
    <w:p w14:paraId="73AB82C8">
      <w:pPr>
        <w:keepNext w:val="0"/>
        <w:keepLines w:val="0"/>
        <w:pageBreakBefore w:val="0"/>
        <w:widowControl w:val="0"/>
        <w:kinsoku w:val="0"/>
        <w:wordWrap/>
        <w:overflowPunct w:val="0"/>
        <w:topLinePunct w:val="0"/>
        <w:autoSpaceDE w:val="0"/>
        <w:autoSpaceDN w:val="0"/>
        <w:bidi w:val="0"/>
        <w:adjustRightInd w:val="0"/>
        <w:snapToGrid w:val="0"/>
        <w:spacing w:line="360" w:lineRule="auto"/>
        <w:ind w:right="0" w:firstLine="620" w:firstLineChars="200"/>
        <w:jc w:val="both"/>
        <w:textAlignment w:val="baseline"/>
        <w:rPr>
          <w:rFonts w:hint="eastAsia" w:ascii="仿宋" w:hAnsi="仿宋" w:eastAsia="仿宋" w:cs="仿宋"/>
          <w:spacing w:val="5"/>
          <w:sz w:val="30"/>
          <w:szCs w:val="30"/>
          <w:u w:val="none"/>
          <w:lang w:val="en-US" w:eastAsia="zh-CN"/>
        </w:rPr>
      </w:pPr>
      <w:r>
        <w:rPr>
          <w:rFonts w:hint="eastAsia" w:ascii="仿宋" w:hAnsi="仿宋" w:eastAsia="仿宋" w:cs="仿宋"/>
          <w:spacing w:val="5"/>
          <w:sz w:val="30"/>
          <w:szCs w:val="30"/>
          <w:highlight w:val="none"/>
          <w:u w:val="none"/>
          <w:lang w:eastAsia="zh-CN"/>
        </w:rPr>
        <w:t>（</w:t>
      </w:r>
      <w:r>
        <w:rPr>
          <w:rFonts w:hint="eastAsia" w:ascii="仿宋" w:hAnsi="仿宋" w:eastAsia="仿宋" w:cs="仿宋"/>
          <w:spacing w:val="5"/>
          <w:sz w:val="30"/>
          <w:szCs w:val="30"/>
          <w:highlight w:val="none"/>
          <w:u w:val="none"/>
        </w:rPr>
        <w:t>二</w:t>
      </w:r>
      <w:r>
        <w:rPr>
          <w:rFonts w:hint="eastAsia" w:ascii="仿宋" w:hAnsi="仿宋" w:eastAsia="仿宋" w:cs="仿宋"/>
          <w:spacing w:val="5"/>
          <w:sz w:val="30"/>
          <w:szCs w:val="30"/>
          <w:highlight w:val="none"/>
          <w:u w:val="none"/>
          <w:lang w:eastAsia="zh-CN"/>
        </w:rPr>
        <w:t>）</w:t>
      </w:r>
      <w:r>
        <w:rPr>
          <w:rFonts w:hint="eastAsia" w:ascii="仿宋" w:hAnsi="仿宋" w:eastAsia="仿宋" w:cs="仿宋"/>
          <w:spacing w:val="5"/>
          <w:sz w:val="30"/>
          <w:szCs w:val="30"/>
          <w:u w:val="none"/>
          <w:lang w:val="en-US" w:eastAsia="zh-CN"/>
        </w:rPr>
        <w:t>缺乏与设备操作、日常维护、故障维修等环节相匹配的专业人员配置计划，或是已规划的人员在数量、专业技能、资质认证等方面，与设备运行的实际需求存在较大差距，致使设备无法正常启用和持续稳定运行。</w:t>
      </w:r>
    </w:p>
    <w:p w14:paraId="61CAD022">
      <w:pPr>
        <w:keepNext w:val="0"/>
        <w:keepLines w:val="0"/>
        <w:pageBreakBefore w:val="0"/>
        <w:widowControl w:val="0"/>
        <w:kinsoku w:val="0"/>
        <w:wordWrap/>
        <w:overflowPunct w:val="0"/>
        <w:topLinePunct w:val="0"/>
        <w:autoSpaceDE w:val="0"/>
        <w:autoSpaceDN w:val="0"/>
        <w:bidi w:val="0"/>
        <w:adjustRightInd w:val="0"/>
        <w:snapToGrid w:val="0"/>
        <w:spacing w:line="360" w:lineRule="auto"/>
        <w:ind w:right="0" w:firstLine="620" w:firstLineChars="200"/>
        <w:jc w:val="both"/>
        <w:textAlignment w:val="baseline"/>
        <w:rPr>
          <w:rFonts w:hint="eastAsia" w:ascii="仿宋" w:hAnsi="仿宋" w:eastAsia="仿宋" w:cs="仿宋"/>
          <w:spacing w:val="5"/>
          <w:sz w:val="30"/>
          <w:szCs w:val="30"/>
          <w:lang w:val="en-US" w:eastAsia="zh-CN"/>
        </w:rPr>
      </w:pPr>
      <w:r>
        <w:rPr>
          <w:rFonts w:hint="eastAsia" w:ascii="仿宋" w:hAnsi="仿宋" w:eastAsia="仿宋" w:cs="仿宋"/>
          <w:spacing w:val="5"/>
          <w:sz w:val="30"/>
          <w:szCs w:val="30"/>
          <w:highlight w:val="none"/>
          <w:u w:val="none"/>
          <w:lang w:eastAsia="zh-CN"/>
        </w:rPr>
        <w:t>（</w:t>
      </w:r>
      <w:r>
        <w:rPr>
          <w:rFonts w:hint="eastAsia" w:ascii="仿宋" w:hAnsi="仿宋" w:eastAsia="仿宋" w:cs="仿宋"/>
          <w:spacing w:val="5"/>
          <w:sz w:val="30"/>
          <w:szCs w:val="30"/>
          <w:highlight w:val="none"/>
          <w:u w:val="none"/>
          <w:lang w:val="en-US" w:eastAsia="zh-CN"/>
        </w:rPr>
        <w:t>三）</w:t>
      </w:r>
      <w:r>
        <w:rPr>
          <w:rFonts w:hint="eastAsia" w:ascii="仿宋" w:hAnsi="仿宋" w:eastAsia="仿宋" w:cs="仿宋"/>
          <w:spacing w:val="5"/>
          <w:sz w:val="30"/>
          <w:szCs w:val="30"/>
          <w:u w:val="none"/>
          <w:lang w:val="en-US" w:eastAsia="zh-CN"/>
        </w:rPr>
        <w:t>二级单位需确保设备在全生命周期内，耗材采购、维修维护服务、保养零部件更换，以及因设备运行产生的大用量水电费等各项支出，均有明确、稳定的资金来源。在论证过程中，若无法提供可靠的资金保障方案和相关证明材料，大仪论证同样将判定为不通过。</w:t>
      </w:r>
    </w:p>
    <w:p w14:paraId="4B75E717">
      <w:pPr>
        <w:keepNext w:val="0"/>
        <w:keepLines w:val="0"/>
        <w:pageBreakBefore w:val="0"/>
        <w:widowControl w:val="0"/>
        <w:kinsoku w:val="0"/>
        <w:wordWrap/>
        <w:overflowPunct w:val="0"/>
        <w:topLinePunct w:val="0"/>
        <w:autoSpaceDE w:val="0"/>
        <w:autoSpaceDN w:val="0"/>
        <w:bidi w:val="0"/>
        <w:adjustRightInd w:val="0"/>
        <w:snapToGrid w:val="0"/>
        <w:spacing w:line="360" w:lineRule="auto"/>
        <w:ind w:right="0" w:firstLine="626" w:firstLineChars="200"/>
        <w:jc w:val="both"/>
        <w:textAlignment w:val="baseline"/>
        <w:rPr>
          <w:rFonts w:hint="eastAsia" w:ascii="仿宋" w:hAnsi="仿宋" w:eastAsia="仿宋" w:cs="仿宋"/>
          <w:sz w:val="30"/>
          <w:szCs w:val="30"/>
        </w:rPr>
      </w:pPr>
      <w:r>
        <w:rPr>
          <w:rFonts w:hint="eastAsia" w:ascii="仿宋" w:hAnsi="仿宋" w:eastAsia="仿宋" w:cs="仿宋"/>
          <w:b/>
          <w:bCs/>
          <w:spacing w:val="6"/>
          <w:sz w:val="30"/>
          <w:szCs w:val="30"/>
          <w:lang w:val="en-US" w:eastAsia="zh-CN"/>
        </w:rPr>
        <w:t xml:space="preserve">第十一条 </w:t>
      </w:r>
      <w:r>
        <w:rPr>
          <w:rFonts w:hint="eastAsia" w:ascii="仿宋" w:hAnsi="仿宋" w:eastAsia="仿宋" w:cs="仿宋"/>
          <w:spacing w:val="19"/>
          <w:sz w:val="30"/>
          <w:szCs w:val="30"/>
        </w:rPr>
        <w:t>采购上海市政府集中采购目录以内或者采购限</w:t>
      </w:r>
      <w:r>
        <w:rPr>
          <w:rFonts w:hint="eastAsia" w:ascii="仿宋" w:hAnsi="仿宋" w:eastAsia="仿宋" w:cs="仿宋"/>
          <w:spacing w:val="4"/>
          <w:sz w:val="30"/>
          <w:szCs w:val="30"/>
        </w:rPr>
        <w:t>额标准以上的进口大型仪器设备，需进行进口产品论证，具体按</w:t>
      </w:r>
      <w:r>
        <w:rPr>
          <w:rFonts w:hint="eastAsia" w:ascii="仿宋" w:hAnsi="仿宋" w:eastAsia="仿宋" w:cs="仿宋"/>
          <w:spacing w:val="5"/>
          <w:sz w:val="30"/>
          <w:szCs w:val="30"/>
        </w:rPr>
        <w:t>照财政部关于印发《政府采购进口产品管理办法》的通知执行。</w:t>
      </w:r>
    </w:p>
    <w:p w14:paraId="35E4772A">
      <w:pPr>
        <w:keepNext w:val="0"/>
        <w:keepLines w:val="0"/>
        <w:pageBreakBefore w:val="0"/>
        <w:widowControl w:val="0"/>
        <w:kinsoku w:val="0"/>
        <w:wordWrap/>
        <w:overflowPunct w:val="0"/>
        <w:topLinePunct w:val="0"/>
        <w:autoSpaceDE w:val="0"/>
        <w:autoSpaceDN w:val="0"/>
        <w:bidi w:val="0"/>
        <w:adjustRightInd w:val="0"/>
        <w:snapToGrid w:val="0"/>
        <w:spacing w:line="360" w:lineRule="auto"/>
        <w:jc w:val="center"/>
        <w:textAlignment w:val="baseline"/>
        <w:outlineLvl w:val="0"/>
        <w:rPr>
          <w:rFonts w:hint="eastAsia" w:ascii="仿宋" w:hAnsi="仿宋" w:eastAsia="仿宋" w:cs="仿宋"/>
          <w:b/>
          <w:bCs/>
          <w:sz w:val="30"/>
          <w:szCs w:val="30"/>
          <w:highlight w:val="yellow"/>
        </w:rPr>
      </w:pPr>
      <w:r>
        <w:rPr>
          <w:rFonts w:hint="eastAsia" w:ascii="仿宋" w:hAnsi="仿宋" w:eastAsia="仿宋" w:cs="仿宋"/>
          <w:b/>
          <w:bCs/>
          <w:spacing w:val="17"/>
          <w:sz w:val="30"/>
          <w:szCs w:val="30"/>
        </w:rPr>
        <w:t>第四章</w:t>
      </w:r>
      <w:r>
        <w:rPr>
          <w:rFonts w:hint="eastAsia" w:ascii="仿宋" w:hAnsi="仿宋" w:eastAsia="仿宋" w:cs="仿宋"/>
          <w:b/>
          <w:bCs/>
          <w:spacing w:val="4"/>
          <w:sz w:val="30"/>
          <w:szCs w:val="30"/>
        </w:rPr>
        <w:t xml:space="preserve">  </w:t>
      </w:r>
      <w:r>
        <w:rPr>
          <w:rFonts w:hint="eastAsia" w:ascii="仿宋" w:hAnsi="仿宋" w:eastAsia="仿宋" w:cs="仿宋"/>
          <w:b/>
          <w:bCs/>
          <w:spacing w:val="17"/>
          <w:sz w:val="30"/>
          <w:szCs w:val="30"/>
        </w:rPr>
        <w:t>采购</w:t>
      </w:r>
      <w:r>
        <w:rPr>
          <w:rFonts w:hint="eastAsia" w:ascii="仿宋" w:hAnsi="仿宋" w:eastAsia="仿宋" w:cs="仿宋"/>
          <w:b/>
          <w:bCs/>
          <w:spacing w:val="17"/>
          <w:sz w:val="30"/>
          <w:szCs w:val="30"/>
          <w:lang w:val="en-US" w:eastAsia="zh-CN"/>
        </w:rPr>
        <w:t>与验收</w:t>
      </w:r>
    </w:p>
    <w:p w14:paraId="3E0310E9">
      <w:pPr>
        <w:keepNext w:val="0"/>
        <w:keepLines w:val="0"/>
        <w:pageBreakBefore w:val="0"/>
        <w:widowControl w:val="0"/>
        <w:kinsoku w:val="0"/>
        <w:wordWrap/>
        <w:overflowPunct w:val="0"/>
        <w:topLinePunct w:val="0"/>
        <w:autoSpaceDE w:val="0"/>
        <w:autoSpaceDN w:val="0"/>
        <w:bidi w:val="0"/>
        <w:adjustRightInd w:val="0"/>
        <w:snapToGrid w:val="0"/>
        <w:spacing w:line="360" w:lineRule="auto"/>
        <w:ind w:right="0" w:firstLine="626" w:firstLineChars="200"/>
        <w:jc w:val="both"/>
        <w:textAlignment w:val="baseline"/>
        <w:rPr>
          <w:rFonts w:hint="eastAsia" w:ascii="仿宋" w:hAnsi="仿宋" w:eastAsia="仿宋" w:cs="仿宋"/>
          <w:spacing w:val="5"/>
          <w:sz w:val="30"/>
          <w:szCs w:val="30"/>
        </w:rPr>
      </w:pPr>
      <w:r>
        <w:rPr>
          <w:rFonts w:hint="eastAsia" w:ascii="仿宋" w:hAnsi="仿宋" w:eastAsia="仿宋" w:cs="仿宋"/>
          <w:b/>
          <w:bCs/>
          <w:spacing w:val="6"/>
          <w:sz w:val="30"/>
          <w:szCs w:val="30"/>
          <w:lang w:val="en-US" w:eastAsia="zh-CN"/>
        </w:rPr>
        <w:t>第十二条</w:t>
      </w:r>
      <w:r>
        <w:rPr>
          <w:rFonts w:hint="eastAsia" w:ascii="仿宋" w:hAnsi="仿宋" w:eastAsia="仿宋" w:cs="仿宋"/>
          <w:spacing w:val="5"/>
          <w:sz w:val="30"/>
          <w:szCs w:val="30"/>
          <w:highlight w:val="none"/>
        </w:rPr>
        <w:t xml:space="preserve"> </w:t>
      </w:r>
      <w:r>
        <w:rPr>
          <w:rFonts w:hint="eastAsia" w:ascii="仿宋" w:hAnsi="仿宋" w:eastAsia="仿宋" w:cs="仿宋"/>
          <w:spacing w:val="5"/>
          <w:sz w:val="30"/>
          <w:szCs w:val="30"/>
          <w:highlight w:val="none"/>
          <w:lang w:val="en-US" w:eastAsia="zh-CN"/>
        </w:rPr>
        <w:t>经学校批准购置的</w:t>
      </w:r>
      <w:r>
        <w:rPr>
          <w:rFonts w:hint="eastAsia" w:ascii="仿宋" w:hAnsi="仿宋" w:eastAsia="仿宋" w:cs="仿宋"/>
          <w:spacing w:val="5"/>
          <w:sz w:val="30"/>
          <w:szCs w:val="30"/>
          <w:highlight w:val="none"/>
        </w:rPr>
        <w:t>大型仪器设备</w:t>
      </w:r>
      <w:r>
        <w:rPr>
          <w:rFonts w:hint="eastAsia" w:ascii="仿宋" w:hAnsi="仿宋" w:eastAsia="仿宋" w:cs="仿宋"/>
          <w:spacing w:val="5"/>
          <w:sz w:val="30"/>
          <w:szCs w:val="30"/>
          <w:highlight w:val="none"/>
          <w:lang w:eastAsia="zh-CN"/>
        </w:rPr>
        <w:t>，</w:t>
      </w:r>
      <w:r>
        <w:rPr>
          <w:rFonts w:hint="eastAsia" w:ascii="仿宋" w:hAnsi="仿宋" w:eastAsia="仿宋" w:cs="仿宋"/>
          <w:spacing w:val="5"/>
          <w:sz w:val="30"/>
          <w:szCs w:val="30"/>
          <w:highlight w:val="none"/>
          <w:lang w:val="en-US" w:eastAsia="zh-CN"/>
        </w:rPr>
        <w:t>应纳入学校预算，按照</w:t>
      </w:r>
      <w:r>
        <w:rPr>
          <w:rFonts w:hint="eastAsia" w:ascii="仿宋" w:hAnsi="仿宋" w:eastAsia="仿宋" w:cs="仿宋"/>
          <w:spacing w:val="5"/>
          <w:sz w:val="30"/>
          <w:szCs w:val="30"/>
          <w:highlight w:val="none"/>
        </w:rPr>
        <w:t>《上</w:t>
      </w:r>
      <w:r>
        <w:rPr>
          <w:rFonts w:hint="eastAsia" w:ascii="仿宋" w:hAnsi="仿宋" w:eastAsia="仿宋" w:cs="仿宋"/>
          <w:spacing w:val="5"/>
          <w:sz w:val="30"/>
          <w:szCs w:val="30"/>
        </w:rPr>
        <w:t>海电子信息职业技术学院采购管理办法》</w:t>
      </w:r>
      <w:r>
        <w:rPr>
          <w:rFonts w:hint="eastAsia" w:ascii="仿宋" w:hAnsi="仿宋" w:eastAsia="仿宋" w:cs="仿宋"/>
          <w:spacing w:val="5"/>
          <w:sz w:val="30"/>
          <w:szCs w:val="30"/>
          <w:lang w:val="en-US" w:eastAsia="zh-CN"/>
        </w:rPr>
        <w:t>实施采购</w:t>
      </w:r>
      <w:r>
        <w:rPr>
          <w:rFonts w:hint="eastAsia" w:ascii="仿宋" w:hAnsi="仿宋" w:eastAsia="仿宋" w:cs="仿宋"/>
          <w:spacing w:val="5"/>
          <w:sz w:val="30"/>
          <w:szCs w:val="30"/>
        </w:rPr>
        <w:t>。</w:t>
      </w:r>
    </w:p>
    <w:p w14:paraId="07F18B0D">
      <w:pPr>
        <w:keepNext w:val="0"/>
        <w:keepLines w:val="0"/>
        <w:pageBreakBefore w:val="0"/>
        <w:widowControl w:val="0"/>
        <w:kinsoku w:val="0"/>
        <w:wordWrap/>
        <w:overflowPunct w:val="0"/>
        <w:topLinePunct w:val="0"/>
        <w:autoSpaceDE w:val="0"/>
        <w:autoSpaceDN w:val="0"/>
        <w:bidi w:val="0"/>
        <w:adjustRightInd w:val="0"/>
        <w:snapToGrid w:val="0"/>
        <w:spacing w:line="360" w:lineRule="auto"/>
        <w:ind w:right="0" w:firstLine="626" w:firstLineChars="200"/>
        <w:jc w:val="both"/>
        <w:textAlignment w:val="baseline"/>
        <w:rPr>
          <w:rFonts w:hint="eastAsia" w:ascii="仿宋" w:hAnsi="仿宋" w:eastAsia="仿宋" w:cs="仿宋"/>
          <w:spacing w:val="5"/>
          <w:sz w:val="30"/>
          <w:szCs w:val="30"/>
        </w:rPr>
      </w:pPr>
      <w:r>
        <w:rPr>
          <w:rFonts w:hint="eastAsia" w:ascii="仿宋" w:hAnsi="仿宋" w:eastAsia="仿宋" w:cs="仿宋"/>
          <w:b/>
          <w:bCs/>
          <w:spacing w:val="6"/>
          <w:sz w:val="30"/>
          <w:szCs w:val="30"/>
          <w:lang w:val="en-US" w:eastAsia="zh-CN"/>
        </w:rPr>
        <w:t>第十三条</w:t>
      </w:r>
      <w:r>
        <w:rPr>
          <w:rFonts w:hint="eastAsia" w:ascii="仿宋" w:hAnsi="仿宋" w:eastAsia="仿宋" w:cs="仿宋"/>
          <w:spacing w:val="5"/>
          <w:sz w:val="30"/>
          <w:szCs w:val="30"/>
        </w:rPr>
        <w:t xml:space="preserve"> 完成合同签订后，</w:t>
      </w:r>
      <w:r>
        <w:rPr>
          <w:rFonts w:hint="eastAsia" w:ascii="仿宋" w:hAnsi="仿宋" w:eastAsia="仿宋" w:cs="仿宋"/>
          <w:spacing w:val="5"/>
          <w:sz w:val="30"/>
          <w:szCs w:val="30"/>
          <w:lang w:val="en-US" w:eastAsia="zh-CN"/>
        </w:rPr>
        <w:t>二级单位应按照</w:t>
      </w:r>
      <w:r>
        <w:rPr>
          <w:rFonts w:hint="eastAsia" w:ascii="仿宋" w:hAnsi="仿宋" w:eastAsia="仿宋" w:cs="仿宋"/>
          <w:spacing w:val="6"/>
          <w:sz w:val="30"/>
          <w:szCs w:val="30"/>
          <w:highlight w:val="none"/>
        </w:rPr>
        <w:t>《上海电子信息职业技术学院固定资产管理办法》</w:t>
      </w:r>
      <w:r>
        <w:rPr>
          <w:rFonts w:hint="eastAsia" w:ascii="仿宋" w:hAnsi="仿宋" w:eastAsia="仿宋" w:cs="仿宋"/>
          <w:spacing w:val="6"/>
          <w:sz w:val="30"/>
          <w:szCs w:val="30"/>
          <w:highlight w:val="none"/>
          <w:lang w:val="en-US" w:eastAsia="zh-CN"/>
        </w:rPr>
        <w:t>规定进行验收。</w:t>
      </w:r>
    </w:p>
    <w:p w14:paraId="29BBE588">
      <w:pPr>
        <w:keepNext w:val="0"/>
        <w:keepLines w:val="0"/>
        <w:pageBreakBefore w:val="0"/>
        <w:widowControl w:val="0"/>
        <w:kinsoku w:val="0"/>
        <w:wordWrap/>
        <w:overflowPunct w:val="0"/>
        <w:topLinePunct w:val="0"/>
        <w:autoSpaceDE w:val="0"/>
        <w:autoSpaceDN w:val="0"/>
        <w:bidi w:val="0"/>
        <w:adjustRightInd w:val="0"/>
        <w:snapToGrid w:val="0"/>
        <w:spacing w:line="360" w:lineRule="auto"/>
        <w:ind w:left="0" w:firstLine="0" w:firstLineChars="0"/>
        <w:jc w:val="center"/>
        <w:textAlignment w:val="baseline"/>
        <w:outlineLvl w:val="0"/>
        <w:rPr>
          <w:rFonts w:hint="eastAsia" w:ascii="仿宋" w:hAnsi="仿宋" w:eastAsia="仿宋" w:cs="仿宋"/>
          <w:b/>
          <w:bCs/>
          <w:spacing w:val="25"/>
          <w:sz w:val="30"/>
          <w:szCs w:val="30"/>
        </w:rPr>
      </w:pPr>
      <w:r>
        <w:rPr>
          <w:rFonts w:hint="eastAsia" w:ascii="仿宋" w:hAnsi="仿宋" w:eastAsia="仿宋" w:cs="仿宋"/>
          <w:b/>
          <w:bCs/>
          <w:spacing w:val="25"/>
          <w:sz w:val="30"/>
          <w:szCs w:val="30"/>
        </w:rPr>
        <w:t>第</w:t>
      </w:r>
      <w:r>
        <w:rPr>
          <w:rFonts w:hint="eastAsia" w:ascii="仿宋" w:hAnsi="仿宋" w:eastAsia="仿宋" w:cs="仿宋"/>
          <w:b/>
          <w:bCs/>
          <w:spacing w:val="25"/>
          <w:sz w:val="30"/>
          <w:szCs w:val="30"/>
          <w:lang w:val="en-US" w:eastAsia="zh-CN"/>
        </w:rPr>
        <w:t>五</w:t>
      </w:r>
      <w:r>
        <w:rPr>
          <w:rFonts w:hint="eastAsia" w:ascii="仿宋" w:hAnsi="仿宋" w:eastAsia="仿宋" w:cs="仿宋"/>
          <w:b/>
          <w:bCs/>
          <w:spacing w:val="25"/>
          <w:sz w:val="30"/>
          <w:szCs w:val="30"/>
        </w:rPr>
        <w:t>章  日常管理</w:t>
      </w:r>
    </w:p>
    <w:p w14:paraId="650662D7">
      <w:pPr>
        <w:keepNext w:val="0"/>
        <w:keepLines w:val="0"/>
        <w:pageBreakBefore w:val="0"/>
        <w:widowControl w:val="0"/>
        <w:kinsoku w:val="0"/>
        <w:wordWrap/>
        <w:overflowPunct w:val="0"/>
        <w:topLinePunct w:val="0"/>
        <w:autoSpaceDE w:val="0"/>
        <w:autoSpaceDN w:val="0"/>
        <w:bidi w:val="0"/>
        <w:adjustRightInd w:val="0"/>
        <w:snapToGrid w:val="0"/>
        <w:spacing w:before="194" w:line="360" w:lineRule="auto"/>
        <w:ind w:left="29" w:right="39" w:firstLine="626" w:firstLineChars="200"/>
        <w:textAlignment w:val="baseline"/>
        <w:rPr>
          <w:rFonts w:hint="eastAsia" w:ascii="仿宋" w:hAnsi="仿宋" w:eastAsia="仿宋" w:cs="仿宋"/>
          <w:spacing w:val="6"/>
          <w:sz w:val="30"/>
          <w:szCs w:val="30"/>
          <w:highlight w:val="none"/>
        </w:rPr>
      </w:pPr>
      <w:r>
        <w:rPr>
          <w:rFonts w:hint="eastAsia" w:ascii="仿宋" w:hAnsi="仿宋" w:eastAsia="仿宋" w:cs="仿宋"/>
          <w:b/>
          <w:bCs/>
          <w:spacing w:val="6"/>
          <w:sz w:val="30"/>
          <w:szCs w:val="30"/>
          <w:lang w:val="en-US" w:eastAsia="zh-CN"/>
        </w:rPr>
        <w:t>第十四条</w:t>
      </w:r>
      <w:r>
        <w:rPr>
          <w:rFonts w:hint="eastAsia" w:ascii="仿宋" w:hAnsi="仿宋" w:eastAsia="仿宋" w:cs="仿宋"/>
          <w:spacing w:val="6"/>
          <w:sz w:val="30"/>
          <w:szCs w:val="30"/>
          <w:highlight w:val="none"/>
          <w:lang w:val="en-US" w:eastAsia="zh-CN"/>
        </w:rPr>
        <w:t xml:space="preserve">  大型仪器设备日常管理应严格执行“三定两严制度”。做到定点存放、定人操作和定期维护；严格遵守操作规程、严格交接手续。二级单位应制定管理、使用操作规程及维护保养办法，真实全面、及时准确填写《大型仪器设备使用记录》。 </w:t>
      </w:r>
    </w:p>
    <w:p w14:paraId="2290F078">
      <w:pPr>
        <w:keepNext w:val="0"/>
        <w:keepLines w:val="0"/>
        <w:pageBreakBefore w:val="0"/>
        <w:widowControl w:val="0"/>
        <w:kinsoku w:val="0"/>
        <w:wordWrap/>
        <w:overflowPunct w:val="0"/>
        <w:topLinePunct w:val="0"/>
        <w:autoSpaceDE w:val="0"/>
        <w:autoSpaceDN w:val="0"/>
        <w:bidi w:val="0"/>
        <w:adjustRightInd w:val="0"/>
        <w:snapToGrid w:val="0"/>
        <w:spacing w:before="194" w:line="360" w:lineRule="auto"/>
        <w:ind w:left="29" w:right="39" w:firstLine="626" w:firstLineChars="200"/>
        <w:textAlignment w:val="baseline"/>
        <w:rPr>
          <w:rFonts w:hint="eastAsia" w:ascii="仿宋" w:hAnsi="仿宋" w:eastAsia="仿宋" w:cs="仿宋"/>
          <w:spacing w:val="6"/>
          <w:sz w:val="30"/>
          <w:szCs w:val="30"/>
          <w:highlight w:val="none"/>
        </w:rPr>
      </w:pPr>
      <w:r>
        <w:rPr>
          <w:rFonts w:hint="eastAsia" w:ascii="仿宋" w:hAnsi="仿宋" w:eastAsia="仿宋" w:cs="仿宋"/>
          <w:b/>
          <w:bCs/>
          <w:spacing w:val="6"/>
          <w:sz w:val="30"/>
          <w:szCs w:val="30"/>
          <w:highlight w:val="none"/>
          <w:lang w:val="en-US" w:eastAsia="zh-CN"/>
        </w:rPr>
        <w:t>第十五条</w:t>
      </w:r>
      <w:r>
        <w:rPr>
          <w:rFonts w:hint="eastAsia" w:ascii="仿宋" w:hAnsi="仿宋" w:eastAsia="仿宋" w:cs="仿宋"/>
          <w:spacing w:val="6"/>
          <w:sz w:val="30"/>
          <w:szCs w:val="30"/>
          <w:highlight w:val="none"/>
          <w:lang w:val="en-US" w:eastAsia="zh-CN"/>
        </w:rPr>
        <w:t xml:space="preserve">  大型仪器设备应建立完整的技术档案。档案内容包括产品出厂的技术资料、购置、验收、安装、调试、运行、维修保养、事故处理、报废处置等记录和相关资料，并及时报送资产管理处，资产管理处定期组织检查和考核。</w:t>
      </w:r>
    </w:p>
    <w:p w14:paraId="1D3A5C3A">
      <w:pPr>
        <w:keepNext w:val="0"/>
        <w:keepLines w:val="0"/>
        <w:pageBreakBefore w:val="0"/>
        <w:widowControl w:val="0"/>
        <w:kinsoku w:val="0"/>
        <w:wordWrap/>
        <w:overflowPunct w:val="0"/>
        <w:topLinePunct w:val="0"/>
        <w:autoSpaceDE w:val="0"/>
        <w:autoSpaceDN w:val="0"/>
        <w:bidi w:val="0"/>
        <w:adjustRightInd w:val="0"/>
        <w:snapToGrid w:val="0"/>
        <w:spacing w:before="194" w:line="360" w:lineRule="auto"/>
        <w:ind w:left="29" w:right="39" w:firstLine="626" w:firstLineChars="200"/>
        <w:textAlignment w:val="baseline"/>
        <w:rPr>
          <w:rFonts w:hint="eastAsia" w:ascii="仿宋" w:hAnsi="仿宋" w:eastAsia="仿宋" w:cs="仿宋"/>
          <w:spacing w:val="6"/>
          <w:sz w:val="30"/>
          <w:szCs w:val="30"/>
          <w:highlight w:val="none"/>
          <w:lang w:val="en-US" w:eastAsia="zh-CN"/>
        </w:rPr>
      </w:pPr>
      <w:r>
        <w:rPr>
          <w:rFonts w:hint="eastAsia" w:ascii="仿宋" w:hAnsi="仿宋" w:eastAsia="仿宋" w:cs="仿宋"/>
          <w:b/>
          <w:bCs/>
          <w:spacing w:val="6"/>
          <w:sz w:val="30"/>
          <w:szCs w:val="30"/>
          <w:highlight w:val="none"/>
          <w:lang w:val="en-US" w:eastAsia="zh-CN"/>
        </w:rPr>
        <w:t>第十六条</w:t>
      </w:r>
      <w:r>
        <w:rPr>
          <w:rFonts w:hint="eastAsia" w:ascii="仿宋" w:hAnsi="仿宋" w:eastAsia="仿宋" w:cs="仿宋"/>
          <w:spacing w:val="6"/>
          <w:sz w:val="30"/>
          <w:szCs w:val="30"/>
          <w:highlight w:val="none"/>
          <w:lang w:val="en-US" w:eastAsia="zh-CN"/>
        </w:rPr>
        <w:t xml:space="preserve">  建立大型仪器设备的日常维修和保养制度。二级单位应采取有效措施，加强相关专业技术人员常态化的业务技能培训，提高其日常维修和保养能力；做到精心维护、定期检修与检测。 </w:t>
      </w:r>
    </w:p>
    <w:p w14:paraId="47759A7C">
      <w:pPr>
        <w:keepNext w:val="0"/>
        <w:keepLines w:val="0"/>
        <w:pageBreakBefore w:val="0"/>
        <w:widowControl w:val="0"/>
        <w:kinsoku w:val="0"/>
        <w:wordWrap/>
        <w:overflowPunct w:val="0"/>
        <w:topLinePunct w:val="0"/>
        <w:autoSpaceDE w:val="0"/>
        <w:autoSpaceDN w:val="0"/>
        <w:bidi w:val="0"/>
        <w:adjustRightInd w:val="0"/>
        <w:snapToGrid w:val="0"/>
        <w:spacing w:before="195" w:line="360" w:lineRule="auto"/>
        <w:ind w:firstLine="626" w:firstLineChars="200"/>
        <w:textAlignment w:val="baseline"/>
        <w:rPr>
          <w:rFonts w:hint="eastAsia" w:ascii="仿宋" w:hAnsi="仿宋" w:eastAsia="仿宋" w:cs="仿宋"/>
          <w:sz w:val="30"/>
          <w:szCs w:val="30"/>
          <w:highlight w:val="none"/>
        </w:rPr>
      </w:pPr>
      <w:r>
        <w:rPr>
          <w:rFonts w:hint="eastAsia" w:ascii="仿宋" w:hAnsi="仿宋" w:eastAsia="仿宋" w:cs="仿宋"/>
          <w:b/>
          <w:bCs/>
          <w:spacing w:val="6"/>
          <w:sz w:val="30"/>
          <w:szCs w:val="30"/>
          <w:highlight w:val="none"/>
          <w:lang w:val="en-US" w:eastAsia="zh-CN"/>
        </w:rPr>
        <w:t>第十七条</w:t>
      </w:r>
      <w:r>
        <w:rPr>
          <w:rFonts w:hint="eastAsia" w:ascii="仿宋" w:hAnsi="仿宋" w:eastAsia="仿宋" w:cs="仿宋"/>
          <w:spacing w:val="6"/>
          <w:sz w:val="30"/>
          <w:szCs w:val="30"/>
          <w:highlight w:val="none"/>
          <w:lang w:val="en-US" w:eastAsia="zh-CN"/>
        </w:rPr>
        <w:t xml:space="preserve">  因未经授权许可或违反使用操作规程等人为因素造成仪器设备损坏的，由使用人承担相应的维修费用。</w:t>
      </w:r>
    </w:p>
    <w:p w14:paraId="50121546">
      <w:pPr>
        <w:keepNext w:val="0"/>
        <w:keepLines w:val="0"/>
        <w:pageBreakBefore w:val="0"/>
        <w:widowControl w:val="0"/>
        <w:kinsoku w:val="0"/>
        <w:wordWrap/>
        <w:overflowPunct w:val="0"/>
        <w:topLinePunct w:val="0"/>
        <w:autoSpaceDE w:val="0"/>
        <w:autoSpaceDN w:val="0"/>
        <w:bidi w:val="0"/>
        <w:adjustRightInd w:val="0"/>
        <w:snapToGrid w:val="0"/>
        <w:spacing w:before="194" w:line="360" w:lineRule="auto"/>
        <w:ind w:left="29" w:right="39" w:firstLine="626" w:firstLineChars="200"/>
        <w:textAlignment w:val="baseline"/>
        <w:rPr>
          <w:rFonts w:hint="eastAsia" w:ascii="仿宋" w:hAnsi="仿宋" w:eastAsia="仿宋" w:cs="仿宋"/>
          <w:spacing w:val="15"/>
          <w:sz w:val="30"/>
          <w:szCs w:val="30"/>
          <w:highlight w:val="none"/>
        </w:rPr>
      </w:pPr>
      <w:r>
        <w:rPr>
          <w:rFonts w:hint="eastAsia" w:ascii="仿宋" w:hAnsi="仿宋" w:eastAsia="仿宋" w:cs="仿宋"/>
          <w:b/>
          <w:bCs/>
          <w:spacing w:val="6"/>
          <w:sz w:val="30"/>
          <w:szCs w:val="30"/>
          <w:highlight w:val="none"/>
          <w:lang w:val="en-US" w:eastAsia="zh-CN"/>
        </w:rPr>
        <w:t>第十八条</w:t>
      </w:r>
      <w:r>
        <w:rPr>
          <w:rFonts w:hint="eastAsia" w:ascii="仿宋" w:hAnsi="仿宋" w:eastAsia="仿宋" w:cs="仿宋"/>
          <w:spacing w:val="6"/>
          <w:sz w:val="30"/>
          <w:szCs w:val="30"/>
          <w:highlight w:val="none"/>
          <w:lang w:val="en-US" w:eastAsia="zh-CN"/>
        </w:rPr>
        <w:t xml:space="preserve"> 确因超过使用年限、技术落后、破损严重、运行维护费用过高而没有修复、使用价值的大型仪器设备可按学校相关规定申请报废处置。</w:t>
      </w:r>
    </w:p>
    <w:p w14:paraId="10948585">
      <w:pPr>
        <w:keepNext w:val="0"/>
        <w:keepLines w:val="0"/>
        <w:pageBreakBefore w:val="0"/>
        <w:widowControl w:val="0"/>
        <w:numPr>
          <w:ilvl w:val="-1"/>
          <w:numId w:val="0"/>
        </w:numPr>
        <w:kinsoku w:val="0"/>
        <w:wordWrap/>
        <w:overflowPunct w:val="0"/>
        <w:topLinePunct w:val="0"/>
        <w:autoSpaceDE w:val="0"/>
        <w:autoSpaceDN w:val="0"/>
        <w:bidi w:val="0"/>
        <w:adjustRightInd w:val="0"/>
        <w:snapToGrid w:val="0"/>
        <w:spacing w:line="360" w:lineRule="auto"/>
        <w:ind w:left="0" w:firstLine="0" w:firstLineChars="0"/>
        <w:jc w:val="center"/>
        <w:textAlignment w:val="baseline"/>
        <w:outlineLvl w:val="0"/>
        <w:rPr>
          <w:rFonts w:hint="eastAsia" w:ascii="仿宋" w:hAnsi="仿宋" w:eastAsia="仿宋" w:cs="仿宋"/>
          <w:b/>
          <w:bCs/>
          <w:spacing w:val="25"/>
          <w:sz w:val="30"/>
          <w:szCs w:val="30"/>
        </w:rPr>
      </w:pPr>
      <w:r>
        <w:rPr>
          <w:rFonts w:hint="eastAsia" w:ascii="仿宋" w:hAnsi="仿宋" w:eastAsia="仿宋" w:cs="仿宋"/>
          <w:b/>
          <w:bCs/>
          <w:spacing w:val="25"/>
          <w:sz w:val="30"/>
          <w:szCs w:val="30"/>
          <w:lang w:val="en-US" w:eastAsia="zh-CN"/>
        </w:rPr>
        <w:t>第六章</w:t>
      </w:r>
      <w:r>
        <w:rPr>
          <w:rFonts w:hint="eastAsia" w:ascii="仿宋" w:hAnsi="仿宋" w:eastAsia="仿宋" w:cs="仿宋"/>
          <w:b/>
          <w:bCs/>
          <w:spacing w:val="25"/>
          <w:sz w:val="30"/>
          <w:szCs w:val="30"/>
        </w:rPr>
        <w:t xml:space="preserve"> 共享管理</w:t>
      </w:r>
      <w:r>
        <w:rPr>
          <w:rFonts w:hint="eastAsia" w:ascii="仿宋" w:hAnsi="仿宋" w:eastAsia="仿宋" w:cs="仿宋"/>
          <w:b/>
          <w:bCs/>
          <w:spacing w:val="25"/>
          <w:sz w:val="30"/>
          <w:szCs w:val="30"/>
          <w:lang w:val="en-US" w:eastAsia="zh-CN"/>
        </w:rPr>
        <w:t>与收费</w:t>
      </w:r>
    </w:p>
    <w:p w14:paraId="411CB489">
      <w:pPr>
        <w:keepNext w:val="0"/>
        <w:keepLines w:val="0"/>
        <w:pageBreakBefore w:val="0"/>
        <w:widowControl w:val="0"/>
        <w:kinsoku w:val="0"/>
        <w:wordWrap/>
        <w:overflowPunct w:val="0"/>
        <w:topLinePunct w:val="0"/>
        <w:autoSpaceDE w:val="0"/>
        <w:autoSpaceDN w:val="0"/>
        <w:bidi w:val="0"/>
        <w:adjustRightInd w:val="0"/>
        <w:snapToGrid w:val="0"/>
        <w:spacing w:before="194" w:line="360" w:lineRule="auto"/>
        <w:ind w:left="29" w:right="39" w:firstLine="626" w:firstLineChars="200"/>
        <w:textAlignment w:val="baseline"/>
        <w:rPr>
          <w:rFonts w:hint="eastAsia" w:ascii="仿宋" w:hAnsi="仿宋" w:eastAsia="仿宋" w:cs="仿宋"/>
          <w:spacing w:val="5"/>
          <w:sz w:val="30"/>
          <w:szCs w:val="30"/>
          <w:lang w:val="en-US" w:eastAsia="zh-CN"/>
        </w:rPr>
      </w:pPr>
      <w:r>
        <w:rPr>
          <w:rFonts w:hint="eastAsia" w:ascii="仿宋" w:hAnsi="仿宋" w:eastAsia="仿宋" w:cs="仿宋"/>
          <w:b/>
          <w:bCs/>
          <w:spacing w:val="6"/>
          <w:sz w:val="30"/>
          <w:szCs w:val="30"/>
          <w:lang w:val="en-US" w:eastAsia="zh-CN"/>
        </w:rPr>
        <w:t xml:space="preserve">第十九条 </w:t>
      </w:r>
      <w:r>
        <w:rPr>
          <w:rFonts w:hint="eastAsia" w:ascii="仿宋" w:hAnsi="仿宋" w:eastAsia="仿宋" w:cs="仿宋"/>
          <w:spacing w:val="17"/>
          <w:sz w:val="30"/>
          <w:szCs w:val="30"/>
          <w:lang w:val="en-US" w:eastAsia="zh-CN"/>
        </w:rPr>
        <w:t>本办法中单台（套）账面原值在</w:t>
      </w:r>
      <w:r>
        <w:rPr>
          <w:rFonts w:hint="eastAsia" w:ascii="仿宋" w:hAnsi="仿宋" w:eastAsia="仿宋" w:cs="仿宋"/>
          <w:spacing w:val="5"/>
          <w:sz w:val="30"/>
          <w:szCs w:val="30"/>
        </w:rPr>
        <w:t>50万元</w:t>
      </w:r>
      <w:r>
        <w:rPr>
          <w:rFonts w:hint="eastAsia" w:ascii="仿宋" w:hAnsi="仿宋" w:eastAsia="仿宋" w:cs="仿宋"/>
          <w:spacing w:val="5"/>
          <w:sz w:val="30"/>
          <w:szCs w:val="30"/>
          <w:lang w:val="en-US" w:eastAsia="zh-CN"/>
        </w:rPr>
        <w:t>及以上的</w:t>
      </w:r>
      <w:r>
        <w:rPr>
          <w:rFonts w:hint="eastAsia" w:ascii="仿宋" w:hAnsi="仿宋" w:eastAsia="仿宋" w:cs="仿宋"/>
          <w:spacing w:val="5"/>
          <w:sz w:val="30"/>
          <w:szCs w:val="30"/>
        </w:rPr>
        <w:t>大型仪器设备</w:t>
      </w:r>
      <w:r>
        <w:rPr>
          <w:rFonts w:hint="eastAsia" w:ascii="仿宋" w:hAnsi="仿宋" w:eastAsia="仿宋" w:cs="仿宋"/>
          <w:spacing w:val="5"/>
          <w:sz w:val="30"/>
          <w:szCs w:val="30"/>
          <w:lang w:eastAsia="zh-CN"/>
        </w:rPr>
        <w:t>（</w:t>
      </w:r>
      <w:r>
        <w:rPr>
          <w:rFonts w:hint="eastAsia" w:ascii="仿宋" w:hAnsi="仿宋" w:eastAsia="仿宋" w:cs="仿宋"/>
          <w:spacing w:val="5"/>
          <w:sz w:val="30"/>
          <w:szCs w:val="30"/>
        </w:rPr>
        <w:t>涉密仪器设备</w:t>
      </w:r>
      <w:r>
        <w:rPr>
          <w:rFonts w:hint="eastAsia" w:ascii="仿宋" w:hAnsi="仿宋" w:eastAsia="仿宋" w:cs="仿宋"/>
          <w:spacing w:val="5"/>
          <w:sz w:val="30"/>
          <w:szCs w:val="30"/>
          <w:lang w:val="en-US" w:eastAsia="zh-CN"/>
        </w:rPr>
        <w:t>除外</w:t>
      </w:r>
      <w:r>
        <w:rPr>
          <w:rFonts w:hint="eastAsia" w:ascii="仿宋" w:hAnsi="仿宋" w:eastAsia="仿宋" w:cs="仿宋"/>
          <w:spacing w:val="5"/>
          <w:sz w:val="30"/>
          <w:szCs w:val="30"/>
          <w:lang w:eastAsia="zh-CN"/>
        </w:rPr>
        <w:t>）</w:t>
      </w:r>
      <w:r>
        <w:rPr>
          <w:rFonts w:hint="eastAsia" w:ascii="仿宋" w:hAnsi="仿宋" w:eastAsia="仿宋" w:cs="仿宋"/>
          <w:spacing w:val="5"/>
          <w:sz w:val="30"/>
          <w:szCs w:val="30"/>
          <w:lang w:val="en-US" w:eastAsia="zh-CN"/>
        </w:rPr>
        <w:t>，均应纳入开放共享范围，面向校内外开放共享服务。</w:t>
      </w:r>
      <w:r>
        <w:rPr>
          <w:rFonts w:hint="eastAsia" w:ascii="仿宋" w:hAnsi="仿宋" w:eastAsia="仿宋" w:cs="仿宋"/>
          <w:spacing w:val="17"/>
          <w:sz w:val="30"/>
          <w:szCs w:val="30"/>
          <w:lang w:val="en-US" w:eastAsia="zh-CN"/>
        </w:rPr>
        <w:t>单台（套）账面原值低于</w:t>
      </w:r>
      <w:r>
        <w:rPr>
          <w:rFonts w:hint="eastAsia" w:ascii="仿宋" w:hAnsi="仿宋" w:eastAsia="仿宋" w:cs="仿宋"/>
          <w:spacing w:val="5"/>
          <w:sz w:val="30"/>
          <w:szCs w:val="30"/>
        </w:rPr>
        <w:t>50万元</w:t>
      </w:r>
      <w:r>
        <w:rPr>
          <w:rFonts w:hint="eastAsia" w:ascii="仿宋" w:hAnsi="仿宋" w:eastAsia="仿宋" w:cs="仿宋"/>
          <w:spacing w:val="5"/>
          <w:sz w:val="30"/>
          <w:szCs w:val="30"/>
          <w:lang w:val="en-US" w:eastAsia="zh-CN"/>
        </w:rPr>
        <w:t>的</w:t>
      </w:r>
      <w:r>
        <w:rPr>
          <w:rFonts w:hint="eastAsia" w:ascii="仿宋" w:hAnsi="仿宋" w:eastAsia="仿宋" w:cs="仿宋"/>
          <w:spacing w:val="5"/>
          <w:sz w:val="30"/>
          <w:szCs w:val="30"/>
        </w:rPr>
        <w:t>大型仪器设备</w:t>
      </w:r>
      <w:r>
        <w:rPr>
          <w:rFonts w:hint="eastAsia" w:ascii="仿宋" w:hAnsi="仿宋" w:eastAsia="仿宋" w:cs="仿宋"/>
          <w:spacing w:val="5"/>
          <w:sz w:val="30"/>
          <w:szCs w:val="30"/>
          <w:lang w:val="en-US" w:eastAsia="zh-CN"/>
        </w:rPr>
        <w:t>鼓励纳入开放共享范围。</w:t>
      </w:r>
    </w:p>
    <w:p w14:paraId="2D8B41F9">
      <w:pPr>
        <w:spacing w:before="120" w:after="120" w:line="560" w:lineRule="exact"/>
        <w:ind w:firstLine="622" w:firstLineChars="200"/>
        <w:contextualSpacing/>
        <w:rPr>
          <w:rFonts w:hint="eastAsia" w:ascii="仿宋" w:hAnsi="仿宋" w:eastAsia="仿宋" w:cs="仿宋"/>
          <w:spacing w:val="5"/>
          <w:sz w:val="30"/>
          <w:szCs w:val="30"/>
          <w:lang w:val="en-US" w:eastAsia="zh-CN"/>
        </w:rPr>
      </w:pPr>
      <w:r>
        <w:rPr>
          <w:rFonts w:hint="eastAsia" w:ascii="仿宋" w:hAnsi="仿宋" w:eastAsia="仿宋" w:cs="仿宋"/>
          <w:b/>
          <w:bCs/>
          <w:spacing w:val="5"/>
          <w:sz w:val="30"/>
          <w:szCs w:val="30"/>
          <w:lang w:val="en-US" w:eastAsia="zh-CN"/>
        </w:rPr>
        <w:t>第二十条</w:t>
      </w:r>
      <w:r>
        <w:rPr>
          <w:rFonts w:hint="eastAsia" w:ascii="仿宋" w:hAnsi="仿宋" w:eastAsia="仿宋" w:cs="仿宋"/>
          <w:spacing w:val="5"/>
          <w:sz w:val="30"/>
          <w:szCs w:val="30"/>
          <w:lang w:val="en-US" w:eastAsia="zh-CN"/>
        </w:rPr>
        <w:t xml:space="preserve"> 学校建立大型仪器设备开放共享管理平台（以下简称“共享平台”），向校内外用户提供大型仪器设备共享的信息查询、预约使用、使用统计等相关信息。</w:t>
      </w:r>
    </w:p>
    <w:p w14:paraId="169A8626">
      <w:pPr>
        <w:spacing w:before="120" w:after="120" w:line="560" w:lineRule="exact"/>
        <w:ind w:firstLine="622" w:firstLineChars="200"/>
        <w:contextualSpacing/>
        <w:rPr>
          <w:rFonts w:hint="eastAsia" w:ascii="仿宋" w:hAnsi="仿宋" w:eastAsia="仿宋" w:cs="仿宋"/>
          <w:b w:val="0"/>
          <w:bCs w:val="0"/>
          <w:spacing w:val="5"/>
          <w:sz w:val="30"/>
          <w:szCs w:val="30"/>
          <w:lang w:val="en-US" w:eastAsia="zh-CN"/>
        </w:rPr>
      </w:pPr>
      <w:r>
        <w:rPr>
          <w:rFonts w:hint="eastAsia" w:ascii="仿宋" w:hAnsi="仿宋" w:eastAsia="仿宋" w:cs="仿宋"/>
          <w:b/>
          <w:bCs/>
          <w:spacing w:val="5"/>
          <w:sz w:val="30"/>
          <w:szCs w:val="30"/>
          <w:lang w:val="en-US" w:eastAsia="zh-CN"/>
        </w:rPr>
        <w:t>第二十一条</w:t>
      </w:r>
      <w:r>
        <w:rPr>
          <w:rFonts w:hint="eastAsia" w:ascii="仿宋" w:hAnsi="仿宋" w:eastAsia="仿宋" w:cs="仿宋"/>
          <w:spacing w:val="5"/>
          <w:sz w:val="30"/>
          <w:szCs w:val="30"/>
          <w:lang w:val="en-US" w:eastAsia="zh-CN"/>
        </w:rPr>
        <w:t xml:space="preserve"> </w:t>
      </w:r>
      <w:r>
        <w:rPr>
          <w:rFonts w:hint="eastAsia" w:ascii="仿宋" w:hAnsi="仿宋" w:eastAsia="仿宋" w:cs="仿宋"/>
          <w:b w:val="0"/>
          <w:bCs w:val="0"/>
          <w:spacing w:val="5"/>
          <w:sz w:val="30"/>
          <w:szCs w:val="30"/>
          <w:lang w:val="en-US" w:eastAsia="zh-CN"/>
        </w:rPr>
        <w:t>收费标准的制定和审批</w:t>
      </w:r>
    </w:p>
    <w:p w14:paraId="3CBBF989">
      <w:pPr>
        <w:numPr>
          <w:ilvl w:val="-1"/>
          <w:numId w:val="0"/>
        </w:numPr>
        <w:spacing w:before="120" w:after="120" w:line="560" w:lineRule="exact"/>
        <w:ind w:left="0" w:firstLine="620" w:firstLineChars="200"/>
        <w:contextualSpacing/>
        <w:rPr>
          <w:rFonts w:hint="eastAsia" w:ascii="仿宋" w:hAnsi="仿宋" w:eastAsia="仿宋" w:cs="仿宋"/>
          <w:b w:val="0"/>
          <w:bCs w:val="0"/>
          <w:spacing w:val="5"/>
          <w:sz w:val="30"/>
          <w:szCs w:val="30"/>
          <w:lang w:val="en-US" w:eastAsia="zh-CN"/>
        </w:rPr>
      </w:pPr>
      <w:r>
        <w:rPr>
          <w:rFonts w:hint="eastAsia" w:ascii="仿宋" w:hAnsi="仿宋" w:eastAsia="仿宋" w:cs="仿宋"/>
          <w:color w:val="000000"/>
          <w:spacing w:val="5"/>
          <w:sz w:val="30"/>
          <w:szCs w:val="30"/>
          <w:lang w:val="en-US" w:eastAsia="zh-CN"/>
        </w:rPr>
        <w:t>（一）</w:t>
      </w:r>
      <w:r>
        <w:rPr>
          <w:rFonts w:hint="eastAsia" w:ascii="仿宋" w:hAnsi="仿宋" w:eastAsia="仿宋" w:cs="仿宋"/>
          <w:b w:val="0"/>
          <w:bCs w:val="0"/>
          <w:spacing w:val="5"/>
          <w:sz w:val="30"/>
          <w:szCs w:val="30"/>
          <w:lang w:val="en-US" w:eastAsia="zh-CN"/>
        </w:rPr>
        <w:t>大型仪器设备开放共享服务的收费标准按照成本补偿和非营利性的原则制定。可参考本市同类设备技术服务的市场价格、通行标准或政策标准制定。</w:t>
      </w:r>
    </w:p>
    <w:p w14:paraId="5D57B16D">
      <w:pPr>
        <w:numPr>
          <w:ilvl w:val="-1"/>
          <w:numId w:val="0"/>
        </w:numPr>
        <w:spacing w:before="120" w:after="120" w:line="560" w:lineRule="exact"/>
        <w:ind w:left="0" w:leftChars="0" w:firstLine="620" w:firstLineChars="200"/>
        <w:contextualSpacing/>
        <w:rPr>
          <w:rFonts w:hint="eastAsia" w:ascii="仿宋" w:hAnsi="仿宋" w:eastAsia="仿宋" w:cs="仿宋"/>
          <w:b w:val="0"/>
          <w:bCs w:val="0"/>
          <w:spacing w:val="5"/>
          <w:sz w:val="30"/>
          <w:szCs w:val="30"/>
          <w:lang w:val="en-US" w:eastAsia="zh-CN"/>
        </w:rPr>
      </w:pPr>
      <w:r>
        <w:rPr>
          <w:rFonts w:hint="eastAsia" w:ascii="仿宋" w:hAnsi="仿宋" w:eastAsia="仿宋" w:cs="仿宋"/>
          <w:b w:val="0"/>
          <w:bCs w:val="0"/>
          <w:spacing w:val="5"/>
          <w:sz w:val="30"/>
          <w:szCs w:val="30"/>
          <w:lang w:val="en-US" w:eastAsia="zh-CN"/>
        </w:rPr>
        <w:t>（二）收费标准由各二级单位制定，经二级单位党政联席会议审议，报财务处核准，按相关规定报主管部门备案后实施。</w:t>
      </w:r>
    </w:p>
    <w:p w14:paraId="741830A1">
      <w:pPr>
        <w:spacing w:before="120" w:after="120" w:line="560" w:lineRule="exact"/>
        <w:ind w:firstLine="622" w:firstLineChars="200"/>
        <w:contextualSpacing/>
        <w:rPr>
          <w:rFonts w:hint="eastAsia" w:ascii="仿宋" w:hAnsi="仿宋" w:eastAsia="仿宋" w:cs="仿宋"/>
          <w:b w:val="0"/>
          <w:bCs w:val="0"/>
          <w:spacing w:val="5"/>
          <w:sz w:val="30"/>
          <w:szCs w:val="30"/>
          <w:lang w:val="en-US" w:eastAsia="zh-CN"/>
        </w:rPr>
      </w:pPr>
      <w:r>
        <w:rPr>
          <w:rFonts w:hint="eastAsia" w:ascii="仿宋" w:hAnsi="仿宋" w:eastAsia="仿宋" w:cs="仿宋"/>
          <w:b/>
          <w:bCs/>
          <w:spacing w:val="5"/>
          <w:sz w:val="30"/>
          <w:szCs w:val="30"/>
          <w:lang w:val="en-US" w:eastAsia="zh-CN"/>
        </w:rPr>
        <w:t>第二十二条</w:t>
      </w:r>
      <w:r>
        <w:rPr>
          <w:rFonts w:hint="eastAsia" w:ascii="仿宋" w:hAnsi="仿宋" w:eastAsia="仿宋" w:cs="仿宋"/>
          <w:b w:val="0"/>
          <w:bCs w:val="0"/>
          <w:spacing w:val="5"/>
          <w:sz w:val="30"/>
          <w:szCs w:val="30"/>
          <w:lang w:val="en-US" w:eastAsia="zh-CN"/>
        </w:rPr>
        <w:t xml:space="preserve"> 大型仪器设备共享服务实施分类收费。</w:t>
      </w:r>
    </w:p>
    <w:p w14:paraId="3FCF4CE2">
      <w:pPr>
        <w:numPr>
          <w:ilvl w:val="-1"/>
          <w:numId w:val="0"/>
        </w:numPr>
        <w:spacing w:before="120" w:after="120" w:line="560" w:lineRule="exact"/>
        <w:ind w:firstLine="600" w:firstLineChars="200"/>
        <w:contextualSpacing/>
        <w:rPr>
          <w:rFonts w:hint="eastAsia" w:ascii="仿宋" w:hAnsi="仿宋" w:eastAsia="仿宋" w:cs="仿宋"/>
          <w:b w:val="0"/>
          <w:bCs w:val="0"/>
          <w:spacing w:val="5"/>
          <w:sz w:val="30"/>
          <w:szCs w:val="30"/>
          <w:lang w:val="en-US" w:eastAsia="zh-CN"/>
        </w:rPr>
      </w:pPr>
      <w:r>
        <w:rPr>
          <w:rFonts w:hint="eastAsia" w:ascii="仿宋" w:hAnsi="仿宋" w:eastAsia="仿宋" w:cs="仿宋"/>
          <w:color w:val="000000"/>
          <w:sz w:val="30"/>
          <w:szCs w:val="30"/>
        </w:rPr>
        <w:t>（一）</w:t>
      </w:r>
      <w:r>
        <w:rPr>
          <w:rFonts w:hint="eastAsia" w:ascii="仿宋" w:hAnsi="仿宋" w:eastAsia="仿宋" w:cs="仿宋"/>
          <w:b w:val="0"/>
          <w:bCs w:val="0"/>
          <w:spacing w:val="5"/>
          <w:sz w:val="30"/>
          <w:szCs w:val="30"/>
          <w:lang w:val="en-US" w:eastAsia="zh-CN"/>
        </w:rPr>
        <w:t>用于在校师生人才培养的，不收取费用；</w:t>
      </w:r>
    </w:p>
    <w:p w14:paraId="51168895">
      <w:pPr>
        <w:spacing w:before="120" w:after="120" w:line="560" w:lineRule="exact"/>
        <w:ind w:firstLine="600" w:firstLineChars="200"/>
        <w:contextualSpacing/>
        <w:rPr>
          <w:rFonts w:hint="default" w:ascii="仿宋" w:hAnsi="仿宋" w:eastAsia="仿宋" w:cs="仿宋"/>
          <w:b w:val="0"/>
          <w:bCs w:val="0"/>
          <w:spacing w:val="5"/>
          <w:sz w:val="30"/>
          <w:szCs w:val="30"/>
          <w:lang w:val="en-US" w:eastAsia="zh-CN"/>
        </w:rPr>
      </w:pPr>
      <w:r>
        <w:rPr>
          <w:rFonts w:hint="eastAsia" w:ascii="仿宋" w:hAnsi="仿宋" w:eastAsia="仿宋" w:cs="仿宋"/>
          <w:color w:val="000000"/>
          <w:sz w:val="30"/>
          <w:szCs w:val="30"/>
        </w:rPr>
        <w:t>（二）</w:t>
      </w:r>
      <w:r>
        <w:rPr>
          <w:rFonts w:hint="eastAsia" w:ascii="仿宋" w:hAnsi="仿宋" w:eastAsia="仿宋" w:cs="仿宋"/>
          <w:b w:val="0"/>
          <w:bCs w:val="0"/>
          <w:spacing w:val="5"/>
          <w:sz w:val="30"/>
          <w:szCs w:val="30"/>
          <w:lang w:val="en-US" w:eastAsia="zh-CN"/>
        </w:rPr>
        <w:t>用于校内外共享服务的，按照收费标准收取费用（财政性资金支持的非科研项目除外）；</w:t>
      </w:r>
    </w:p>
    <w:p w14:paraId="3F5A4710">
      <w:pPr>
        <w:spacing w:before="120" w:after="120" w:line="560" w:lineRule="exact"/>
        <w:ind w:firstLine="602" w:firstLineChars="200"/>
        <w:contextualSpacing/>
        <w:rPr>
          <w:rFonts w:hint="eastAsia" w:ascii="仿宋" w:hAnsi="仿宋" w:eastAsia="仿宋" w:cs="仿宋"/>
          <w:color w:val="000000"/>
          <w:sz w:val="30"/>
          <w:szCs w:val="30"/>
        </w:rPr>
      </w:pPr>
      <w:r>
        <w:rPr>
          <w:rFonts w:hint="eastAsia" w:ascii="仿宋" w:hAnsi="仿宋" w:eastAsia="仿宋" w:cs="仿宋"/>
          <w:b/>
          <w:color w:val="000000"/>
          <w:sz w:val="30"/>
          <w:szCs w:val="30"/>
        </w:rPr>
        <w:t>第</w:t>
      </w:r>
      <w:r>
        <w:rPr>
          <w:rFonts w:hint="eastAsia" w:ascii="仿宋" w:hAnsi="仿宋" w:eastAsia="仿宋" w:cs="仿宋"/>
          <w:b/>
          <w:color w:val="000000"/>
          <w:sz w:val="30"/>
          <w:szCs w:val="30"/>
          <w:lang w:val="en-US" w:eastAsia="zh-CN"/>
        </w:rPr>
        <w:t>二十三</w:t>
      </w:r>
      <w:r>
        <w:rPr>
          <w:rFonts w:hint="eastAsia" w:ascii="仿宋" w:hAnsi="仿宋" w:eastAsia="仿宋" w:cs="仿宋"/>
          <w:b/>
          <w:color w:val="000000"/>
          <w:sz w:val="30"/>
          <w:szCs w:val="30"/>
        </w:rPr>
        <w:t>条</w:t>
      </w:r>
      <w:r>
        <w:rPr>
          <w:rFonts w:hint="eastAsia" w:ascii="仿宋" w:hAnsi="仿宋" w:eastAsia="仿宋" w:cs="仿宋"/>
          <w:color w:val="000000"/>
          <w:sz w:val="30"/>
          <w:szCs w:val="30"/>
        </w:rPr>
        <w:t xml:space="preserve"> 收费的结算</w:t>
      </w:r>
    </w:p>
    <w:p w14:paraId="2CD636A7">
      <w:pPr>
        <w:spacing w:before="120" w:after="120" w:line="560" w:lineRule="exact"/>
        <w:ind w:firstLine="600" w:firstLineChars="200"/>
        <w:contextualSpacing/>
        <w:rPr>
          <w:rFonts w:hint="eastAsia" w:ascii="仿宋" w:hAnsi="仿宋" w:eastAsia="仿宋" w:cs="仿宋"/>
          <w:color w:val="000000"/>
          <w:sz w:val="30"/>
          <w:szCs w:val="30"/>
        </w:rPr>
      </w:pPr>
      <w:r>
        <w:rPr>
          <w:rFonts w:hint="eastAsia" w:ascii="仿宋" w:hAnsi="仿宋" w:eastAsia="仿宋" w:cs="仿宋"/>
          <w:color w:val="000000"/>
          <w:sz w:val="30"/>
          <w:szCs w:val="30"/>
        </w:rPr>
        <w:t>（一）开放共享服务收取的费用，统一结算至学校大型仪器设备开放共享收费专项账户</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lang w:val="en-US" w:eastAsia="zh-CN"/>
        </w:rPr>
        <w:t>独立核算</w:t>
      </w:r>
      <w:r>
        <w:rPr>
          <w:rFonts w:hint="eastAsia" w:ascii="仿宋" w:hAnsi="仿宋" w:eastAsia="仿宋" w:cs="仿宋"/>
          <w:color w:val="000000"/>
          <w:sz w:val="30"/>
          <w:szCs w:val="30"/>
        </w:rPr>
        <w:t>。</w:t>
      </w:r>
    </w:p>
    <w:p w14:paraId="0A7EA93C">
      <w:pPr>
        <w:spacing w:before="120" w:after="120" w:line="560" w:lineRule="exact"/>
        <w:ind w:firstLine="600" w:firstLineChars="200"/>
        <w:contextualSpacing/>
        <w:rPr>
          <w:rFonts w:hint="eastAsia" w:ascii="仿宋" w:hAnsi="仿宋" w:eastAsia="仿宋" w:cs="仿宋"/>
          <w:color w:val="000000"/>
          <w:sz w:val="30"/>
          <w:szCs w:val="30"/>
        </w:rPr>
      </w:pPr>
      <w:r>
        <w:rPr>
          <w:rFonts w:hint="eastAsia" w:ascii="仿宋" w:hAnsi="仿宋" w:eastAsia="仿宋" w:cs="仿宋"/>
          <w:color w:val="000000"/>
          <w:sz w:val="30"/>
          <w:szCs w:val="30"/>
        </w:rPr>
        <w:t>（二）所有收费实行学校和</w:t>
      </w:r>
      <w:r>
        <w:rPr>
          <w:rFonts w:hint="eastAsia" w:ascii="仿宋" w:hAnsi="仿宋" w:eastAsia="仿宋" w:cs="仿宋"/>
          <w:color w:val="000000"/>
          <w:sz w:val="30"/>
          <w:szCs w:val="30"/>
          <w:lang w:val="en-US" w:eastAsia="zh-CN"/>
        </w:rPr>
        <w:t>二级单位</w:t>
      </w:r>
      <w:r>
        <w:rPr>
          <w:rFonts w:hint="eastAsia" w:ascii="仿宋" w:hAnsi="仿宋" w:eastAsia="仿宋" w:cs="仿宋"/>
          <w:color w:val="000000"/>
          <w:sz w:val="30"/>
          <w:szCs w:val="30"/>
        </w:rPr>
        <w:t>两级管理模式，并按照“收支两条线，学校统一核算”的方式进行管理。</w:t>
      </w:r>
    </w:p>
    <w:p w14:paraId="3F6875CE">
      <w:pPr>
        <w:spacing w:before="120" w:after="120" w:line="560" w:lineRule="exact"/>
        <w:ind w:firstLine="602" w:firstLineChars="200"/>
        <w:contextualSpacing/>
        <w:rPr>
          <w:rFonts w:hint="eastAsia" w:ascii="仿宋" w:hAnsi="仿宋" w:eastAsia="仿宋" w:cs="仿宋"/>
          <w:color w:val="000000"/>
          <w:sz w:val="30"/>
          <w:szCs w:val="30"/>
        </w:rPr>
      </w:pPr>
      <w:r>
        <w:rPr>
          <w:rFonts w:hint="eastAsia" w:ascii="仿宋" w:hAnsi="仿宋" w:eastAsia="仿宋" w:cs="仿宋"/>
          <w:b/>
          <w:color w:val="000000"/>
          <w:sz w:val="30"/>
          <w:szCs w:val="30"/>
          <w:lang w:val="en-US" w:eastAsia="zh-CN"/>
        </w:rPr>
        <w:t>第二十四条</w:t>
      </w:r>
      <w:r>
        <w:rPr>
          <w:rFonts w:hint="eastAsia" w:ascii="仿宋" w:hAnsi="仿宋" w:eastAsia="仿宋" w:cs="仿宋"/>
          <w:spacing w:val="5"/>
          <w:sz w:val="30"/>
          <w:szCs w:val="30"/>
          <w:lang w:val="en-US" w:eastAsia="zh-CN"/>
        </w:rPr>
        <w:t xml:space="preserve"> </w:t>
      </w:r>
      <w:r>
        <w:rPr>
          <w:rFonts w:hint="eastAsia" w:ascii="仿宋" w:hAnsi="仿宋" w:eastAsia="仿宋" w:cs="仿宋"/>
          <w:color w:val="000000"/>
          <w:sz w:val="30"/>
          <w:szCs w:val="30"/>
        </w:rPr>
        <w:t>收费的分配和使用</w:t>
      </w:r>
    </w:p>
    <w:p w14:paraId="3F706D80">
      <w:pPr>
        <w:spacing w:before="120" w:after="120" w:line="560" w:lineRule="exact"/>
        <w:ind w:firstLine="600" w:firstLineChars="200"/>
        <w:contextualSpacing/>
        <w:rPr>
          <w:rFonts w:hint="eastAsia" w:ascii="仿宋" w:hAnsi="仿宋" w:eastAsia="仿宋" w:cs="仿宋"/>
          <w:color w:val="000000"/>
          <w:sz w:val="30"/>
          <w:szCs w:val="30"/>
          <w:highlight w:val="none"/>
        </w:rPr>
      </w:pPr>
      <w:r>
        <w:rPr>
          <w:rFonts w:hint="eastAsia" w:ascii="仿宋" w:hAnsi="仿宋" w:eastAsia="仿宋" w:cs="仿宋"/>
          <w:color w:val="000000"/>
          <w:sz w:val="30"/>
          <w:szCs w:val="30"/>
        </w:rPr>
        <w:t>（一）收取的测试服务收入费用，</w:t>
      </w:r>
      <w:r>
        <w:rPr>
          <w:rFonts w:hint="eastAsia" w:ascii="仿宋" w:hAnsi="仿宋" w:eastAsia="仿宋" w:cs="仿宋"/>
          <w:color w:val="000000"/>
          <w:sz w:val="30"/>
          <w:szCs w:val="30"/>
          <w:highlight w:val="none"/>
          <w:lang w:val="en-US" w:eastAsia="zh-CN"/>
        </w:rPr>
        <w:t>70</w:t>
      </w:r>
      <w:r>
        <w:rPr>
          <w:rFonts w:hint="eastAsia" w:ascii="仿宋" w:hAnsi="仿宋" w:eastAsia="仿宋" w:cs="仿宋"/>
          <w:color w:val="000000"/>
          <w:sz w:val="30"/>
          <w:szCs w:val="30"/>
          <w:highlight w:val="none"/>
        </w:rPr>
        <w:t>%结转至学校用于推进大型仪器设备开放共享相关工作</w:t>
      </w:r>
      <w:r>
        <w:rPr>
          <w:rFonts w:hint="eastAsia" w:ascii="仿宋" w:hAnsi="仿宋" w:eastAsia="仿宋" w:cs="仿宋"/>
          <w:color w:val="000000"/>
          <w:sz w:val="30"/>
          <w:szCs w:val="30"/>
          <w:highlight w:val="none"/>
          <w:lang w:eastAsia="zh-CN"/>
        </w:rPr>
        <w:t>，</w:t>
      </w:r>
      <w:r>
        <w:rPr>
          <w:rFonts w:hint="eastAsia" w:ascii="仿宋" w:hAnsi="仿宋" w:eastAsia="仿宋" w:cs="仿宋"/>
          <w:color w:val="000000"/>
          <w:sz w:val="30"/>
          <w:szCs w:val="30"/>
          <w:highlight w:val="none"/>
        </w:rPr>
        <w:t>主要用于大型仪器设备维修、维护与更新升级、易损易耗配件购置、实验</w:t>
      </w:r>
      <w:r>
        <w:rPr>
          <w:rFonts w:hint="eastAsia" w:ascii="仿宋" w:hAnsi="仿宋" w:eastAsia="仿宋" w:cs="仿宋"/>
          <w:color w:val="000000"/>
          <w:sz w:val="30"/>
          <w:szCs w:val="30"/>
          <w:highlight w:val="none"/>
          <w:lang w:val="en-US" w:eastAsia="zh-CN"/>
        </w:rPr>
        <w:t>实训</w:t>
      </w:r>
      <w:r>
        <w:rPr>
          <w:rFonts w:hint="eastAsia" w:ascii="仿宋" w:hAnsi="仿宋" w:eastAsia="仿宋" w:cs="仿宋"/>
          <w:color w:val="000000"/>
          <w:sz w:val="30"/>
          <w:szCs w:val="30"/>
          <w:highlight w:val="none"/>
        </w:rPr>
        <w:t>技术人员培训</w:t>
      </w:r>
      <w:r>
        <w:rPr>
          <w:rFonts w:hint="eastAsia" w:ascii="仿宋" w:hAnsi="仿宋" w:eastAsia="仿宋" w:cs="仿宋"/>
          <w:color w:val="000000"/>
          <w:sz w:val="30"/>
          <w:szCs w:val="30"/>
          <w:highlight w:val="none"/>
          <w:lang w:val="en-US" w:eastAsia="zh-CN"/>
        </w:rPr>
        <w:t>等</w:t>
      </w:r>
      <w:r>
        <w:rPr>
          <w:rFonts w:hint="eastAsia" w:ascii="仿宋" w:hAnsi="仿宋" w:eastAsia="仿宋" w:cs="仿宋"/>
          <w:color w:val="000000"/>
          <w:sz w:val="30"/>
          <w:szCs w:val="30"/>
          <w:highlight w:val="none"/>
        </w:rPr>
        <w:t>。</w:t>
      </w:r>
    </w:p>
    <w:p w14:paraId="25E63522">
      <w:pPr>
        <w:spacing w:before="120" w:after="120" w:line="560" w:lineRule="exact"/>
        <w:ind w:firstLine="600" w:firstLineChars="200"/>
        <w:contextualSpacing/>
        <w:rPr>
          <w:rFonts w:hint="eastAsia" w:ascii="仿宋" w:hAnsi="仿宋" w:eastAsia="仿宋" w:cs="仿宋"/>
          <w:color w:val="000000"/>
          <w:sz w:val="30"/>
          <w:szCs w:val="30"/>
        </w:rPr>
      </w:pPr>
      <w:r>
        <w:rPr>
          <w:rFonts w:hint="eastAsia" w:ascii="仿宋" w:hAnsi="仿宋" w:eastAsia="仿宋" w:cs="仿宋"/>
          <w:color w:val="000000"/>
          <w:sz w:val="30"/>
          <w:szCs w:val="30"/>
          <w:highlight w:val="none"/>
        </w:rPr>
        <w:t>（二）收取的测试服务收入费用，</w:t>
      </w:r>
      <w:r>
        <w:rPr>
          <w:rFonts w:hint="eastAsia" w:ascii="仿宋" w:hAnsi="仿宋" w:eastAsia="仿宋" w:cs="仿宋"/>
          <w:color w:val="000000"/>
          <w:sz w:val="30"/>
          <w:szCs w:val="30"/>
          <w:highlight w:val="none"/>
          <w:lang w:val="en-US" w:eastAsia="zh-CN"/>
        </w:rPr>
        <w:t>30</w:t>
      </w:r>
      <w:r>
        <w:rPr>
          <w:rFonts w:hint="eastAsia" w:ascii="仿宋" w:hAnsi="仿宋" w:eastAsia="仿宋" w:cs="仿宋"/>
          <w:color w:val="000000"/>
          <w:sz w:val="30"/>
          <w:szCs w:val="30"/>
          <w:highlight w:val="none"/>
        </w:rPr>
        <w:t>%</w:t>
      </w:r>
      <w:r>
        <w:rPr>
          <w:rFonts w:hint="eastAsia" w:ascii="仿宋" w:hAnsi="仿宋" w:eastAsia="仿宋" w:cs="仿宋"/>
          <w:color w:val="000000"/>
          <w:sz w:val="30"/>
          <w:szCs w:val="30"/>
        </w:rPr>
        <w:t>返还提供共享服务的</w:t>
      </w:r>
      <w:r>
        <w:rPr>
          <w:rFonts w:hint="eastAsia" w:ascii="仿宋" w:hAnsi="仿宋" w:eastAsia="仿宋" w:cs="仿宋"/>
          <w:color w:val="000000"/>
          <w:sz w:val="30"/>
          <w:szCs w:val="30"/>
          <w:lang w:val="en-US" w:eastAsia="zh-CN"/>
        </w:rPr>
        <w:t>二级单位</w:t>
      </w:r>
      <w:r>
        <w:rPr>
          <w:rFonts w:hint="eastAsia" w:ascii="仿宋" w:hAnsi="仿宋" w:eastAsia="仿宋" w:cs="仿宋"/>
          <w:color w:val="000000"/>
          <w:sz w:val="30"/>
          <w:szCs w:val="30"/>
        </w:rPr>
        <w:t>，返还费用根据</w:t>
      </w:r>
      <w:r>
        <w:rPr>
          <w:rFonts w:hint="eastAsia" w:ascii="仿宋" w:hAnsi="仿宋" w:eastAsia="仿宋" w:cs="仿宋"/>
          <w:color w:val="000000"/>
          <w:sz w:val="30"/>
          <w:szCs w:val="30"/>
          <w:lang w:val="en-US" w:eastAsia="zh-CN"/>
        </w:rPr>
        <w:t>二级单位</w:t>
      </w:r>
      <w:r>
        <w:rPr>
          <w:rFonts w:hint="eastAsia" w:ascii="仿宋" w:hAnsi="仿宋" w:eastAsia="仿宋" w:cs="仿宋"/>
          <w:color w:val="000000"/>
          <w:sz w:val="30"/>
          <w:szCs w:val="30"/>
        </w:rPr>
        <w:t>制订的相关共享服务管理规定使用</w:t>
      </w:r>
      <w:r>
        <w:rPr>
          <w:rFonts w:hint="eastAsia" w:ascii="仿宋" w:hAnsi="仿宋" w:eastAsia="仿宋" w:cs="仿宋"/>
          <w:color w:val="000000"/>
          <w:sz w:val="30"/>
          <w:szCs w:val="30"/>
          <w:lang w:eastAsia="zh-CN"/>
        </w:rPr>
        <w:t>，</w:t>
      </w:r>
      <w:r>
        <w:rPr>
          <w:rFonts w:hint="eastAsia" w:ascii="仿宋" w:hAnsi="仿宋" w:eastAsia="仿宋" w:cs="仿宋"/>
          <w:color w:val="000000"/>
          <w:sz w:val="30"/>
          <w:szCs w:val="30"/>
          <w:lang w:val="en-US" w:eastAsia="zh-CN"/>
        </w:rPr>
        <w:t>主要用于</w:t>
      </w:r>
      <w:r>
        <w:rPr>
          <w:rFonts w:hint="eastAsia" w:ascii="仿宋" w:hAnsi="仿宋" w:eastAsia="仿宋" w:cs="仿宋"/>
          <w:color w:val="000000"/>
          <w:sz w:val="30"/>
          <w:szCs w:val="30"/>
        </w:rPr>
        <w:t>人员支出等费用。</w:t>
      </w:r>
    </w:p>
    <w:p w14:paraId="281DCEB6">
      <w:pPr>
        <w:keepNext w:val="0"/>
        <w:keepLines w:val="0"/>
        <w:pageBreakBefore w:val="0"/>
        <w:widowControl w:val="0"/>
        <w:kinsoku w:val="0"/>
        <w:wordWrap/>
        <w:overflowPunct w:val="0"/>
        <w:topLinePunct w:val="0"/>
        <w:autoSpaceDE w:val="0"/>
        <w:autoSpaceDN w:val="0"/>
        <w:bidi w:val="0"/>
        <w:adjustRightInd w:val="0"/>
        <w:snapToGrid w:val="0"/>
        <w:spacing w:before="194" w:line="360" w:lineRule="auto"/>
        <w:ind w:left="29" w:right="39" w:firstLine="600" w:firstLineChars="200"/>
        <w:jc w:val="left"/>
        <w:textAlignment w:val="baseline"/>
        <w:rPr>
          <w:rFonts w:hint="eastAsia" w:ascii="仿宋" w:hAnsi="仿宋" w:eastAsia="仿宋" w:cs="仿宋"/>
          <w:b/>
          <w:bCs/>
          <w:spacing w:val="16"/>
          <w:sz w:val="30"/>
          <w:szCs w:val="30"/>
          <w:lang w:val="en-US" w:eastAsia="zh-CN"/>
        </w:rPr>
      </w:pPr>
      <w:r>
        <w:rPr>
          <w:rFonts w:hint="eastAsia" w:ascii="仿宋" w:hAnsi="仿宋" w:eastAsia="仿宋" w:cs="仿宋"/>
          <w:color w:val="000000"/>
          <w:sz w:val="30"/>
          <w:szCs w:val="30"/>
        </w:rPr>
        <w:t>（三）</w:t>
      </w:r>
      <w:r>
        <w:rPr>
          <w:rFonts w:hint="eastAsia" w:ascii="仿宋" w:hAnsi="仿宋" w:eastAsia="仿宋" w:cs="仿宋"/>
          <w:color w:val="000000"/>
          <w:sz w:val="30"/>
          <w:szCs w:val="30"/>
          <w:lang w:val="en-US" w:eastAsia="zh-CN"/>
        </w:rPr>
        <w:t>大型仪器设备</w:t>
      </w:r>
      <w:r>
        <w:rPr>
          <w:rFonts w:hint="eastAsia" w:ascii="仿宋" w:hAnsi="仿宋" w:eastAsia="仿宋" w:cs="仿宋"/>
          <w:i w:val="0"/>
          <w:iCs w:val="0"/>
          <w:caps w:val="0"/>
          <w:spacing w:val="0"/>
          <w:sz w:val="30"/>
          <w:szCs w:val="30"/>
          <w:shd w:val="clear"/>
          <w:lang w:val="en-US" w:eastAsia="zh-CN"/>
        </w:rPr>
        <w:t>优先服务校内师生培养，在满足校内需求的剩余时段，对外有偿共享。</w:t>
      </w:r>
      <w:r>
        <w:rPr>
          <w:rFonts w:hint="eastAsia" w:ascii="仿宋" w:hAnsi="仿宋" w:eastAsia="仿宋" w:cs="仿宋"/>
          <w:color w:val="000000"/>
          <w:sz w:val="30"/>
          <w:szCs w:val="30"/>
        </w:rPr>
        <w:t>任何单位和个人不得以任何理由或形式私自收取</w:t>
      </w:r>
      <w:r>
        <w:rPr>
          <w:rFonts w:hint="eastAsia" w:ascii="仿宋" w:hAnsi="仿宋" w:eastAsia="仿宋" w:cs="仿宋"/>
          <w:spacing w:val="6"/>
          <w:sz w:val="30"/>
          <w:szCs w:val="30"/>
          <w:highlight w:val="none"/>
          <w:lang w:val="en-US" w:eastAsia="zh-CN"/>
        </w:rPr>
        <w:t>共享服务的任何相关费用。</w:t>
      </w:r>
    </w:p>
    <w:p w14:paraId="47BD72A7">
      <w:pPr>
        <w:keepNext w:val="0"/>
        <w:keepLines w:val="0"/>
        <w:pageBreakBefore w:val="0"/>
        <w:widowControl w:val="0"/>
        <w:kinsoku w:val="0"/>
        <w:wordWrap/>
        <w:overflowPunct w:val="0"/>
        <w:topLinePunct w:val="0"/>
        <w:autoSpaceDE w:val="0"/>
        <w:autoSpaceDN w:val="0"/>
        <w:bidi w:val="0"/>
        <w:adjustRightInd w:val="0"/>
        <w:snapToGrid w:val="0"/>
        <w:spacing w:before="194" w:line="360" w:lineRule="auto"/>
        <w:ind w:right="39"/>
        <w:jc w:val="center"/>
        <w:textAlignment w:val="baseline"/>
        <w:rPr>
          <w:rFonts w:hint="eastAsia" w:ascii="仿宋" w:hAnsi="仿宋" w:eastAsia="仿宋" w:cs="仿宋"/>
          <w:spacing w:val="6"/>
          <w:sz w:val="30"/>
          <w:szCs w:val="30"/>
          <w:highlight w:val="none"/>
          <w:lang w:val="en-US" w:eastAsia="zh-CN"/>
        </w:rPr>
      </w:pPr>
      <w:r>
        <w:rPr>
          <w:rFonts w:hint="eastAsia" w:ascii="仿宋" w:hAnsi="仿宋" w:eastAsia="仿宋" w:cs="仿宋"/>
          <w:b/>
          <w:bCs/>
          <w:spacing w:val="16"/>
          <w:sz w:val="30"/>
          <w:szCs w:val="30"/>
          <w:lang w:val="en-US" w:eastAsia="zh-CN"/>
        </w:rPr>
        <w:t>第七章  绩效考核</w:t>
      </w:r>
    </w:p>
    <w:p w14:paraId="510E56FF">
      <w:pPr>
        <w:keepNext w:val="0"/>
        <w:keepLines w:val="0"/>
        <w:pageBreakBefore w:val="0"/>
        <w:widowControl w:val="0"/>
        <w:kinsoku w:val="0"/>
        <w:wordWrap/>
        <w:overflowPunct w:val="0"/>
        <w:topLinePunct w:val="0"/>
        <w:autoSpaceDE w:val="0"/>
        <w:autoSpaceDN w:val="0"/>
        <w:bidi w:val="0"/>
        <w:adjustRightInd w:val="0"/>
        <w:snapToGrid w:val="0"/>
        <w:spacing w:line="360" w:lineRule="auto"/>
        <w:ind w:left="0" w:right="0" w:firstLine="626" w:firstLineChars="200"/>
        <w:textAlignment w:val="baseline"/>
        <w:rPr>
          <w:rFonts w:hint="eastAsia" w:ascii="仿宋" w:hAnsi="仿宋" w:eastAsia="仿宋" w:cs="仿宋"/>
          <w:spacing w:val="15"/>
          <w:sz w:val="30"/>
          <w:szCs w:val="30"/>
          <w:lang w:eastAsia="zh-CN"/>
        </w:rPr>
      </w:pPr>
      <w:r>
        <w:rPr>
          <w:rFonts w:hint="eastAsia" w:ascii="仿宋" w:hAnsi="仿宋" w:eastAsia="仿宋" w:cs="仿宋"/>
          <w:b/>
          <w:bCs/>
          <w:spacing w:val="6"/>
          <w:sz w:val="30"/>
          <w:szCs w:val="30"/>
          <w:lang w:val="en-US" w:eastAsia="zh-CN"/>
        </w:rPr>
        <w:t>第二十五条</w:t>
      </w:r>
      <w:r>
        <w:rPr>
          <w:rFonts w:hint="eastAsia" w:ascii="仿宋" w:hAnsi="仿宋" w:eastAsia="仿宋" w:cs="仿宋"/>
          <w:spacing w:val="15"/>
          <w:sz w:val="30"/>
          <w:szCs w:val="30"/>
        </w:rPr>
        <w:t xml:space="preserve"> 学校每年</w:t>
      </w:r>
      <w:r>
        <w:rPr>
          <w:rFonts w:hint="eastAsia" w:ascii="仿宋" w:hAnsi="仿宋" w:eastAsia="仿宋" w:cs="仿宋"/>
          <w:spacing w:val="15"/>
          <w:sz w:val="30"/>
          <w:szCs w:val="30"/>
          <w:lang w:val="en-US" w:eastAsia="zh-CN"/>
        </w:rPr>
        <w:t>开展</w:t>
      </w:r>
      <w:r>
        <w:rPr>
          <w:rFonts w:hint="eastAsia" w:ascii="仿宋" w:hAnsi="仿宋" w:eastAsia="仿宋" w:cs="仿宋"/>
          <w:spacing w:val="15"/>
          <w:sz w:val="30"/>
          <w:szCs w:val="30"/>
        </w:rPr>
        <w:t>进行大型仪器设备</w:t>
      </w:r>
      <w:r>
        <w:rPr>
          <w:rFonts w:hint="eastAsia" w:ascii="仿宋" w:hAnsi="仿宋" w:eastAsia="仿宋" w:cs="仿宋"/>
          <w:spacing w:val="15"/>
          <w:sz w:val="30"/>
          <w:szCs w:val="30"/>
          <w:lang w:val="en-US" w:eastAsia="zh-CN"/>
        </w:rPr>
        <w:t>使用效益</w:t>
      </w:r>
      <w:r>
        <w:rPr>
          <w:rFonts w:hint="eastAsia" w:ascii="仿宋" w:hAnsi="仿宋" w:eastAsia="仿宋" w:cs="仿宋"/>
          <w:spacing w:val="15"/>
          <w:sz w:val="30"/>
          <w:szCs w:val="30"/>
        </w:rPr>
        <w:t>考核</w:t>
      </w:r>
      <w:r>
        <w:rPr>
          <w:rFonts w:hint="eastAsia" w:ascii="仿宋" w:hAnsi="仿宋" w:eastAsia="仿宋" w:cs="仿宋"/>
          <w:spacing w:val="15"/>
          <w:sz w:val="30"/>
          <w:szCs w:val="30"/>
          <w:lang w:val="en-US" w:eastAsia="zh-CN"/>
        </w:rPr>
        <w:t>评价，</w:t>
      </w:r>
      <w:r>
        <w:rPr>
          <w:rFonts w:hint="eastAsia" w:ascii="仿宋" w:hAnsi="仿宋" w:eastAsia="仿宋" w:cs="仿宋"/>
          <w:spacing w:val="15"/>
          <w:sz w:val="30"/>
          <w:szCs w:val="30"/>
        </w:rPr>
        <w:t>考核结果</w:t>
      </w:r>
      <w:r>
        <w:rPr>
          <w:rFonts w:hint="eastAsia" w:ascii="仿宋" w:hAnsi="仿宋" w:eastAsia="仿宋" w:cs="仿宋"/>
          <w:spacing w:val="15"/>
          <w:sz w:val="30"/>
          <w:szCs w:val="30"/>
          <w:lang w:val="en-US" w:eastAsia="zh-CN"/>
        </w:rPr>
        <w:t>将</w:t>
      </w:r>
      <w:r>
        <w:rPr>
          <w:rFonts w:hint="eastAsia" w:ascii="仿宋" w:hAnsi="仿宋" w:eastAsia="仿宋" w:cs="仿宋"/>
          <w:spacing w:val="15"/>
          <w:sz w:val="30"/>
          <w:szCs w:val="30"/>
        </w:rPr>
        <w:t>作</w:t>
      </w:r>
      <w:r>
        <w:rPr>
          <w:rFonts w:hint="eastAsia" w:ascii="仿宋" w:hAnsi="仿宋" w:eastAsia="仿宋" w:cs="仿宋"/>
          <w:spacing w:val="15"/>
          <w:sz w:val="30"/>
          <w:szCs w:val="30"/>
          <w:lang w:eastAsia="zh-CN"/>
        </w:rPr>
        <w:t>为学校经费主管部门批准</w:t>
      </w:r>
      <w:r>
        <w:rPr>
          <w:rFonts w:hint="eastAsia" w:ascii="仿宋" w:hAnsi="仿宋" w:eastAsia="仿宋" w:cs="仿宋"/>
          <w:spacing w:val="15"/>
          <w:sz w:val="30"/>
          <w:szCs w:val="30"/>
          <w:lang w:val="en-US" w:eastAsia="zh-CN"/>
        </w:rPr>
        <w:t>二级单位</w:t>
      </w:r>
      <w:r>
        <w:rPr>
          <w:rFonts w:hint="eastAsia" w:ascii="仿宋" w:hAnsi="仿宋" w:eastAsia="仿宋" w:cs="仿宋"/>
          <w:spacing w:val="15"/>
          <w:sz w:val="30"/>
          <w:szCs w:val="30"/>
          <w:lang w:eastAsia="zh-CN"/>
        </w:rPr>
        <w:t>新购仪器设备预算的</w:t>
      </w:r>
      <w:r>
        <w:rPr>
          <w:rFonts w:hint="eastAsia" w:ascii="仿宋" w:hAnsi="仿宋" w:eastAsia="仿宋" w:cs="仿宋"/>
          <w:spacing w:val="15"/>
          <w:sz w:val="30"/>
          <w:szCs w:val="30"/>
          <w:lang w:val="en-US" w:eastAsia="zh-CN"/>
        </w:rPr>
        <w:t>重要</w:t>
      </w:r>
      <w:r>
        <w:rPr>
          <w:rFonts w:hint="eastAsia" w:ascii="仿宋" w:hAnsi="仿宋" w:eastAsia="仿宋" w:cs="仿宋"/>
          <w:spacing w:val="15"/>
          <w:sz w:val="30"/>
          <w:szCs w:val="30"/>
          <w:lang w:eastAsia="zh-CN"/>
        </w:rPr>
        <w:t>参考依据。</w:t>
      </w:r>
    </w:p>
    <w:p w14:paraId="1D9D5BE7">
      <w:pPr>
        <w:keepNext w:val="0"/>
        <w:keepLines w:val="0"/>
        <w:pageBreakBefore w:val="0"/>
        <w:widowControl w:val="0"/>
        <w:kinsoku w:val="0"/>
        <w:wordWrap/>
        <w:overflowPunct w:val="0"/>
        <w:topLinePunct w:val="0"/>
        <w:autoSpaceDE w:val="0"/>
        <w:autoSpaceDN w:val="0"/>
        <w:bidi w:val="0"/>
        <w:adjustRightInd w:val="0"/>
        <w:snapToGrid w:val="0"/>
        <w:spacing w:line="360" w:lineRule="auto"/>
        <w:ind w:left="0" w:firstLine="0" w:firstLineChars="0"/>
        <w:jc w:val="center"/>
        <w:textAlignment w:val="baseline"/>
        <w:outlineLvl w:val="0"/>
        <w:rPr>
          <w:rFonts w:hint="eastAsia" w:ascii="仿宋" w:hAnsi="仿宋" w:eastAsia="仿宋" w:cs="仿宋"/>
          <w:b/>
          <w:bCs/>
          <w:spacing w:val="16"/>
          <w:sz w:val="30"/>
          <w:szCs w:val="30"/>
        </w:rPr>
      </w:pPr>
      <w:r>
        <w:rPr>
          <w:rFonts w:hint="eastAsia" w:ascii="仿宋" w:hAnsi="仿宋" w:eastAsia="仿宋" w:cs="仿宋"/>
          <w:b/>
          <w:bCs/>
          <w:spacing w:val="16"/>
          <w:sz w:val="30"/>
          <w:szCs w:val="30"/>
        </w:rPr>
        <w:t>第</w:t>
      </w:r>
      <w:r>
        <w:rPr>
          <w:rFonts w:hint="eastAsia" w:ascii="仿宋" w:hAnsi="仿宋" w:eastAsia="仿宋" w:cs="仿宋"/>
          <w:b/>
          <w:bCs/>
          <w:spacing w:val="16"/>
          <w:sz w:val="30"/>
          <w:szCs w:val="30"/>
          <w:lang w:val="en-US" w:eastAsia="zh-CN"/>
        </w:rPr>
        <w:t>八</w:t>
      </w:r>
      <w:r>
        <w:rPr>
          <w:rFonts w:hint="eastAsia" w:ascii="仿宋" w:hAnsi="仿宋" w:eastAsia="仿宋" w:cs="仿宋"/>
          <w:b/>
          <w:bCs/>
          <w:spacing w:val="16"/>
          <w:sz w:val="30"/>
          <w:szCs w:val="30"/>
        </w:rPr>
        <w:t>章  附 则</w:t>
      </w:r>
    </w:p>
    <w:p w14:paraId="6178B7E6">
      <w:pPr>
        <w:keepNext w:val="0"/>
        <w:keepLines w:val="0"/>
        <w:pageBreakBefore w:val="0"/>
        <w:widowControl w:val="0"/>
        <w:kinsoku w:val="0"/>
        <w:wordWrap/>
        <w:overflowPunct w:val="0"/>
        <w:topLinePunct w:val="0"/>
        <w:autoSpaceDE w:val="0"/>
        <w:autoSpaceDN w:val="0"/>
        <w:bidi w:val="0"/>
        <w:adjustRightInd w:val="0"/>
        <w:snapToGrid w:val="0"/>
        <w:spacing w:line="360" w:lineRule="auto"/>
        <w:ind w:left="0" w:firstLine="662" w:firstLineChars="200"/>
        <w:textAlignment w:val="baseline"/>
        <w:rPr>
          <w:rFonts w:hint="eastAsia" w:ascii="仿宋" w:hAnsi="仿宋" w:eastAsia="仿宋" w:cs="仿宋"/>
          <w:spacing w:val="15"/>
          <w:sz w:val="30"/>
          <w:szCs w:val="30"/>
        </w:rPr>
      </w:pPr>
      <w:r>
        <w:rPr>
          <w:rFonts w:hint="eastAsia" w:ascii="仿宋" w:hAnsi="仿宋" w:eastAsia="仿宋" w:cs="仿宋"/>
          <w:b/>
          <w:bCs/>
          <w:spacing w:val="15"/>
          <w:sz w:val="30"/>
          <w:szCs w:val="30"/>
        </w:rPr>
        <w:t>第</w:t>
      </w:r>
      <w:r>
        <w:rPr>
          <w:rFonts w:hint="eastAsia" w:ascii="仿宋" w:hAnsi="仿宋" w:eastAsia="仿宋" w:cs="仿宋"/>
          <w:b/>
          <w:bCs/>
          <w:spacing w:val="15"/>
          <w:sz w:val="30"/>
          <w:szCs w:val="30"/>
          <w:lang w:val="en-US" w:eastAsia="zh-CN"/>
        </w:rPr>
        <w:t>二</w:t>
      </w:r>
      <w:r>
        <w:rPr>
          <w:rFonts w:hint="eastAsia" w:ascii="仿宋" w:hAnsi="仿宋" w:eastAsia="仿宋" w:cs="仿宋"/>
          <w:b/>
          <w:bCs/>
          <w:spacing w:val="15"/>
          <w:sz w:val="30"/>
          <w:szCs w:val="30"/>
        </w:rPr>
        <w:t>十</w:t>
      </w:r>
      <w:r>
        <w:rPr>
          <w:rFonts w:hint="eastAsia" w:ascii="仿宋" w:hAnsi="仿宋" w:eastAsia="仿宋" w:cs="仿宋"/>
          <w:b/>
          <w:bCs/>
          <w:spacing w:val="15"/>
          <w:sz w:val="30"/>
          <w:szCs w:val="30"/>
          <w:lang w:val="en-US" w:eastAsia="zh-CN"/>
        </w:rPr>
        <w:t>六</w:t>
      </w:r>
      <w:r>
        <w:rPr>
          <w:rFonts w:hint="eastAsia" w:ascii="仿宋" w:hAnsi="仿宋" w:eastAsia="仿宋" w:cs="仿宋"/>
          <w:b/>
          <w:bCs/>
          <w:spacing w:val="15"/>
          <w:sz w:val="30"/>
          <w:szCs w:val="30"/>
        </w:rPr>
        <w:t>条</w:t>
      </w:r>
      <w:r>
        <w:rPr>
          <w:rFonts w:hint="eastAsia" w:ascii="仿宋" w:hAnsi="仿宋" w:eastAsia="仿宋" w:cs="仿宋"/>
          <w:spacing w:val="15"/>
          <w:sz w:val="30"/>
          <w:szCs w:val="30"/>
        </w:rPr>
        <w:t xml:space="preserve"> 本办法由</w:t>
      </w:r>
      <w:r>
        <w:rPr>
          <w:rFonts w:hint="eastAsia" w:ascii="仿宋" w:hAnsi="仿宋" w:eastAsia="仿宋" w:cs="仿宋"/>
          <w:spacing w:val="15"/>
          <w:sz w:val="30"/>
          <w:szCs w:val="30"/>
          <w:lang w:eastAsia="zh-CN"/>
        </w:rPr>
        <w:t>资产管理处</w:t>
      </w:r>
      <w:r>
        <w:rPr>
          <w:rFonts w:hint="eastAsia" w:ascii="仿宋" w:hAnsi="仿宋" w:eastAsia="仿宋" w:cs="仿宋"/>
          <w:spacing w:val="15"/>
          <w:sz w:val="30"/>
          <w:szCs w:val="30"/>
        </w:rPr>
        <w:t>负责解释。</w:t>
      </w:r>
    </w:p>
    <w:p w14:paraId="70FE84FF">
      <w:pPr>
        <w:keepNext w:val="0"/>
        <w:keepLines w:val="0"/>
        <w:pageBreakBefore w:val="0"/>
        <w:widowControl w:val="0"/>
        <w:kinsoku w:val="0"/>
        <w:wordWrap/>
        <w:overflowPunct w:val="0"/>
        <w:topLinePunct w:val="0"/>
        <w:autoSpaceDE w:val="0"/>
        <w:autoSpaceDN w:val="0"/>
        <w:bidi w:val="0"/>
        <w:adjustRightInd w:val="0"/>
        <w:snapToGrid w:val="0"/>
        <w:spacing w:line="360" w:lineRule="auto"/>
        <w:ind w:left="0" w:firstLine="662" w:firstLineChars="200"/>
        <w:textAlignment w:val="baseline"/>
        <w:rPr>
          <w:rFonts w:hint="eastAsia" w:ascii="仿宋" w:hAnsi="仿宋" w:eastAsia="仿宋" w:cs="仿宋"/>
          <w:spacing w:val="15"/>
          <w:sz w:val="30"/>
          <w:szCs w:val="30"/>
          <w:lang w:eastAsia="zh-CN"/>
        </w:rPr>
      </w:pPr>
      <w:r>
        <w:rPr>
          <w:rFonts w:hint="eastAsia" w:ascii="仿宋" w:hAnsi="仿宋" w:eastAsia="仿宋" w:cs="仿宋"/>
          <w:b/>
          <w:bCs/>
          <w:spacing w:val="15"/>
          <w:sz w:val="30"/>
          <w:szCs w:val="30"/>
        </w:rPr>
        <w:t>第</w:t>
      </w:r>
      <w:r>
        <w:rPr>
          <w:rFonts w:hint="eastAsia" w:ascii="仿宋" w:hAnsi="仿宋" w:eastAsia="仿宋" w:cs="仿宋"/>
          <w:b/>
          <w:bCs/>
          <w:spacing w:val="15"/>
          <w:sz w:val="30"/>
          <w:szCs w:val="30"/>
          <w:lang w:val="en-US" w:eastAsia="zh-CN"/>
        </w:rPr>
        <w:t>二</w:t>
      </w:r>
      <w:r>
        <w:rPr>
          <w:rFonts w:hint="eastAsia" w:ascii="仿宋" w:hAnsi="仿宋" w:eastAsia="仿宋" w:cs="仿宋"/>
          <w:b/>
          <w:bCs/>
          <w:spacing w:val="15"/>
          <w:sz w:val="30"/>
          <w:szCs w:val="30"/>
        </w:rPr>
        <w:t>十</w:t>
      </w:r>
      <w:r>
        <w:rPr>
          <w:rFonts w:hint="eastAsia" w:ascii="仿宋" w:hAnsi="仿宋" w:eastAsia="仿宋" w:cs="仿宋"/>
          <w:b/>
          <w:bCs/>
          <w:spacing w:val="15"/>
          <w:sz w:val="30"/>
          <w:szCs w:val="30"/>
          <w:lang w:val="en-US" w:eastAsia="zh-CN"/>
        </w:rPr>
        <w:t>七</w:t>
      </w:r>
      <w:r>
        <w:rPr>
          <w:rFonts w:hint="eastAsia" w:ascii="仿宋" w:hAnsi="仿宋" w:eastAsia="仿宋" w:cs="仿宋"/>
          <w:b/>
          <w:bCs/>
          <w:spacing w:val="15"/>
          <w:sz w:val="30"/>
          <w:szCs w:val="30"/>
        </w:rPr>
        <w:t>条</w:t>
      </w:r>
      <w:r>
        <w:rPr>
          <w:rFonts w:hint="eastAsia" w:ascii="仿宋" w:hAnsi="仿宋" w:eastAsia="仿宋" w:cs="仿宋"/>
          <w:spacing w:val="15"/>
          <w:sz w:val="30"/>
          <w:szCs w:val="30"/>
        </w:rPr>
        <w:t xml:space="preserve"> 本办法自颁布之日起施行</w:t>
      </w:r>
      <w:r>
        <w:rPr>
          <w:rFonts w:hint="eastAsia" w:ascii="仿宋" w:hAnsi="仿宋" w:eastAsia="仿宋" w:cs="仿宋"/>
          <w:spacing w:val="15"/>
          <w:sz w:val="30"/>
          <w:szCs w:val="30"/>
          <w:lang w:eastAsia="zh-CN"/>
        </w:rPr>
        <w:t>。</w:t>
      </w:r>
    </w:p>
    <w:p w14:paraId="0875257A">
      <w:pPr>
        <w:keepNext w:val="0"/>
        <w:keepLines w:val="0"/>
        <w:pageBreakBefore w:val="0"/>
        <w:widowControl w:val="0"/>
        <w:kinsoku w:val="0"/>
        <w:wordWrap/>
        <w:overflowPunct w:val="0"/>
        <w:topLinePunct w:val="0"/>
        <w:autoSpaceDE w:val="0"/>
        <w:autoSpaceDN w:val="0"/>
        <w:bidi w:val="0"/>
        <w:adjustRightInd w:val="0"/>
        <w:snapToGrid w:val="0"/>
        <w:spacing w:line="360" w:lineRule="auto"/>
        <w:textAlignment w:val="baseline"/>
        <w:rPr>
          <w:rFonts w:hint="eastAsia" w:ascii="仿宋" w:hAnsi="仿宋" w:eastAsia="仿宋" w:cs="仿宋"/>
          <w:spacing w:val="15"/>
          <w:sz w:val="30"/>
          <w:szCs w:val="30"/>
          <w:lang w:eastAsia="zh-CN"/>
        </w:rPr>
      </w:pPr>
    </w:p>
    <w:p w14:paraId="1AFEEEDC">
      <w:pPr>
        <w:rPr>
          <w:rFonts w:hint="eastAsia" w:eastAsia="宋体"/>
          <w:lang w:eastAsia="zh-CN"/>
        </w:rPr>
      </w:pPr>
    </w:p>
    <w:p w14:paraId="78D8AD46"/>
    <w:p w14:paraId="5C86E065">
      <w:pPr>
        <w:ind w:right="-874" w:rightChars="-416"/>
        <w:rPr>
          <w:rFonts w:hint="eastAsia" w:ascii="仿宋" w:hAnsi="仿宋" w:eastAsia="仿宋" w:cs="仿宋"/>
          <w:spacing w:val="15"/>
          <w:sz w:val="30"/>
          <w:szCs w:val="30"/>
          <w:lang w:val="en-US" w:eastAsia="zh-CN"/>
        </w:rPr>
        <w:sectPr>
          <w:footerReference r:id="rId5" w:type="default"/>
          <w:pgSz w:w="11900" w:h="16840"/>
          <w:pgMar w:top="1440" w:right="1800" w:bottom="1440" w:left="1800" w:header="794" w:footer="794" w:gutter="0"/>
          <w:pgNumType w:fmt="decimal" w:start="1"/>
          <w:cols w:space="0" w:num="1"/>
          <w:rtlGutter w:val="0"/>
          <w:docGrid w:linePitch="0" w:charSpace="0"/>
        </w:sectPr>
      </w:pPr>
      <w:r>
        <w:rPr>
          <w:rFonts w:hint="eastAsia" w:ascii="仿宋_GB2312" w:eastAsia="仿宋_GB2312"/>
          <w:sz w:val="30"/>
          <w:szCs w:val="30"/>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394970</wp:posOffset>
                </wp:positionV>
                <wp:extent cx="5324475" cy="0"/>
                <wp:effectExtent l="0" t="9525" r="9525" b="9525"/>
                <wp:wrapNone/>
                <wp:docPr id="1" name="直接连接符 1"/>
                <wp:cNvGraphicFramePr/>
                <a:graphic xmlns:a="http://schemas.openxmlformats.org/drawingml/2006/main">
                  <a:graphicData uri="http://schemas.microsoft.com/office/word/2010/wordprocessingShape">
                    <wps:wsp>
                      <wps:cNvCnPr/>
                      <wps:spPr>
                        <a:xfrm>
                          <a:off x="0" y="0"/>
                          <a:ext cx="5324475" cy="0"/>
                        </a:xfrm>
                        <a:prstGeom prst="line">
                          <a:avLst/>
                        </a:prstGeom>
                        <a:ln w="1905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31.1pt;height:0pt;width:419.25pt;z-index:251661312;mso-width-relative:page;mso-height-relative:page;" filled="f" stroked="t" coordsize="21600,21600" o:gfxdata="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LFcuHTAAAABgEAAA8AAAAAAAAAAQAgAAAAIgAAAGRycy9kb3ducmV2LnhtbFBL&#10;AQIUABQAAAAIAIdO4kDOqrvv+wEAAPMDAAAOAAAAAAAAAAEAIAAAACIBAABkcnMvZTJvRG9jLnht&#10;bFBLBQYAAAAABgAGAFkBAACPBQAAAAA=&#10;">
                <v:fill on="f" focussize="0,0"/>
                <v:stroke weight="1.5pt" color="#000000" joinstyle="round"/>
                <v:imagedata o:title=""/>
                <o:lock v:ext="edit" aspectratio="f"/>
              </v:line>
            </w:pict>
          </mc:Fallback>
        </mc:AlternateContent>
      </w:r>
      <w:r>
        <w:rPr>
          <w:rFonts w:hint="eastAsia" w:ascii="仿宋_GB2312" w:eastAsia="仿宋_GB2312"/>
          <w:sz w:val="30"/>
          <w:szCs w:val="30"/>
        </w:rPr>
        <mc:AlternateContent>
          <mc:Choice Requires="wps">
            <w:drawing>
              <wp:anchor distT="0" distB="0" distL="114300" distR="114300" simplePos="0" relativeHeight="251660288" behindDoc="0" locked="0" layoutInCell="1" allowOverlap="1">
                <wp:simplePos x="0" y="0"/>
                <wp:positionH relativeFrom="column">
                  <wp:posOffset>-6350</wp:posOffset>
                </wp:positionH>
                <wp:positionV relativeFrom="paragraph">
                  <wp:posOffset>-1270</wp:posOffset>
                </wp:positionV>
                <wp:extent cx="5330825" cy="1270"/>
                <wp:effectExtent l="0" t="0" r="0" b="0"/>
                <wp:wrapNone/>
                <wp:docPr id="3" name="直接连接符 3"/>
                <wp:cNvGraphicFramePr/>
                <a:graphic xmlns:a="http://schemas.openxmlformats.org/drawingml/2006/main">
                  <a:graphicData uri="http://schemas.microsoft.com/office/word/2010/wordprocessingShape">
                    <wps:wsp>
                      <wps:cNvCnPr/>
                      <wps:spPr>
                        <a:xfrm>
                          <a:off x="0" y="0"/>
                          <a:ext cx="5330825" cy="127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5pt;margin-top:-0.1pt;height:0.1pt;width:419.75pt;z-index:251660288;mso-width-relative:page;mso-height-relative:page;" filled="f" stroked="t" coordsize="21600,21600" o:gfxdata="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OnzbtQAAAAFAQAADwAAAAAAAAABACAAAAAiAAAAZHJzL2Rvd25yZXYueG1s&#10;UEsBAhQAFAAAAAgAh07iQHiZN4T8AQAA9QMAAA4AAAAAAAAAAQAgAAAAIwEAAGRycy9lMm9Eb2Mu&#10;eG1sUEsFBgAAAAAGAAYAWQEAAJEFAAAAAA==&#10;">
                <v:fill on="f" focussize="0,0"/>
                <v:stroke color="#000000" joinstyle="round"/>
                <v:imagedata o:title=""/>
                <o:lock v:ext="edit" aspectratio="f"/>
              </v:line>
            </w:pict>
          </mc:Fallback>
        </mc:AlternateContent>
      </w:r>
      <w:r>
        <w:rPr>
          <w:rFonts w:hint="eastAsia" w:ascii="仿宋_GB2312" w:eastAsia="仿宋_GB2312"/>
          <w:sz w:val="30"/>
          <w:szCs w:val="30"/>
        </w:rPr>
        <w:t>上海电子</w:t>
      </w:r>
      <w:r>
        <w:rPr>
          <w:rFonts w:hint="eastAsia" w:ascii="仿宋_GB2312" w:eastAsia="仿宋_GB2312"/>
          <w:sz w:val="30"/>
          <w:szCs w:val="30"/>
          <w:lang w:eastAsia="zh-CN"/>
        </w:rPr>
        <w:t>信息职业技术学院</w:t>
      </w:r>
      <w:r>
        <w:rPr>
          <w:rFonts w:hint="eastAsia" w:ascii="仿宋_GB2312" w:eastAsia="仿宋_GB2312"/>
          <w:sz w:val="30"/>
          <w:szCs w:val="30"/>
        </w:rPr>
        <w:t xml:space="preserve">办公室      </w:t>
      </w:r>
      <w:r>
        <w:rPr>
          <w:rFonts w:hint="eastAsia" w:ascii="仿宋_GB2312" w:eastAsia="仿宋_GB2312"/>
          <w:sz w:val="30"/>
          <w:szCs w:val="30"/>
          <w:highlight w:val="none"/>
        </w:rPr>
        <w:t>20</w:t>
      </w:r>
      <w:r>
        <w:rPr>
          <w:rFonts w:hint="eastAsia" w:ascii="仿宋_GB2312" w:eastAsia="仿宋_GB2312"/>
          <w:sz w:val="30"/>
          <w:szCs w:val="30"/>
          <w:highlight w:val="none"/>
          <w:lang w:val="en-US" w:eastAsia="zh-CN"/>
        </w:rPr>
        <w:t>25</w:t>
      </w:r>
      <w:r>
        <w:rPr>
          <w:rFonts w:hint="eastAsia" w:ascii="仿宋_GB2312" w:eastAsia="仿宋_GB2312"/>
          <w:sz w:val="30"/>
          <w:szCs w:val="30"/>
          <w:highlight w:val="none"/>
        </w:rPr>
        <w:t>年</w:t>
      </w:r>
      <w:r>
        <w:rPr>
          <w:rFonts w:hint="eastAsia" w:ascii="仿宋_GB2312" w:eastAsia="仿宋_GB2312"/>
          <w:sz w:val="30"/>
          <w:szCs w:val="30"/>
          <w:highlight w:val="none"/>
          <w:lang w:val="en-US" w:eastAsia="zh-CN"/>
        </w:rPr>
        <w:t>4</w:t>
      </w:r>
      <w:r>
        <w:rPr>
          <w:rFonts w:hint="eastAsia" w:ascii="仿宋_GB2312" w:eastAsia="仿宋_GB2312"/>
          <w:sz w:val="30"/>
          <w:szCs w:val="30"/>
          <w:highlight w:val="none"/>
        </w:rPr>
        <w:t>月</w:t>
      </w:r>
      <w:r>
        <w:rPr>
          <w:rFonts w:hint="eastAsia" w:ascii="仿宋_GB2312" w:hAnsi="仿宋" w:eastAsia="仿宋_GB2312"/>
          <w:sz w:val="30"/>
          <w:szCs w:val="30"/>
          <w:highlight w:val="none"/>
          <w:lang w:val="en-US" w:eastAsia="zh-CN"/>
        </w:rPr>
        <w:t>16</w:t>
      </w:r>
      <w:r>
        <w:rPr>
          <w:rFonts w:hint="eastAsia" w:ascii="仿宋_GB2312" w:eastAsia="仿宋_GB2312"/>
          <w:sz w:val="30"/>
          <w:szCs w:val="30"/>
          <w:highlight w:val="none"/>
        </w:rPr>
        <w:t>日</w:t>
      </w:r>
      <w:r>
        <w:rPr>
          <w:rFonts w:hint="eastAsia" w:ascii="仿宋_GB2312" w:eastAsia="仿宋_GB2312"/>
          <w:sz w:val="30"/>
          <w:szCs w:val="30"/>
        </w:rPr>
        <w:t>印发</w:t>
      </w:r>
    </w:p>
    <w:p w14:paraId="1C17C257">
      <w:pPr>
        <w:tabs>
          <w:tab w:val="left" w:pos="3876"/>
        </w:tabs>
        <w:bidi w:val="0"/>
        <w:jc w:val="left"/>
        <w:rPr>
          <w:rFonts w:hint="default"/>
          <w:lang w:val="en-US" w:eastAsia="zh-CN"/>
        </w:rPr>
      </w:pPr>
      <w:bookmarkStart w:id="2" w:name="_GoBack"/>
      <w:bookmarkEnd w:id="2"/>
    </w:p>
    <w:sectPr>
      <w:headerReference r:id="rId6" w:type="default"/>
      <w:footerReference r:id="rId7" w:type="default"/>
      <w:pgSz w:w="16840" w:h="11900" w:orient="landscape"/>
      <w:pgMar w:top="720" w:right="720" w:bottom="720" w:left="720" w:header="0" w:footer="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76310C">
    <w:pPr>
      <w:spacing w:line="14" w:lineRule="auto"/>
      <w:rPr>
        <w:rFonts w:ascii="Arial"/>
        <w:sz w:val="2"/>
      </w:rPr>
    </w:pPr>
    <w:r>
      <w:rPr>
        <w:sz w:val="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2730F7">
                          <w:pPr>
                            <w:pStyle w:val="6"/>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0E2730F7">
                    <w:pPr>
                      <w:pStyle w:val="6"/>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r>
      <w:rPr>
        <w:rFonts w:hint="eastAsia" w:eastAsia="宋体"/>
        <w:sz w:val="2"/>
        <w:lang w:val="en-US" w:eastAsia="zh-CN"/>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FF7FD9">
    <w:pPr>
      <w:spacing w:line="14" w:lineRule="auto"/>
      <w:rPr>
        <w:rFonts w:ascii="Arial"/>
        <w:sz w:val="2"/>
      </w:rPr>
    </w:pPr>
    <w:r>
      <w:rPr>
        <w:sz w:val="2"/>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B0DC31">
                          <w:pPr>
                            <w:pStyle w:val="6"/>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6B0DC31">
                    <w:pPr>
                      <w:pStyle w:val="6"/>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r>
      <w:rPr>
        <w:rFonts w:hint="eastAsia" w:eastAsia="宋体"/>
        <w:sz w:val="2"/>
        <w:lang w:val="en-US" w:eastAsia="zh-CN"/>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D80D5A">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Tk5MjFlMDBkNmVkOWE3YWU3YzE3MGIyMGYyNzRlOWIifQ=="/>
  </w:docVars>
  <w:rsids>
    <w:rsidRoot w:val="00000000"/>
    <w:rsid w:val="001352D7"/>
    <w:rsid w:val="00384B9C"/>
    <w:rsid w:val="00441580"/>
    <w:rsid w:val="0164323E"/>
    <w:rsid w:val="018362EB"/>
    <w:rsid w:val="019E7A44"/>
    <w:rsid w:val="01EE5E5A"/>
    <w:rsid w:val="01FE0482"/>
    <w:rsid w:val="023024D3"/>
    <w:rsid w:val="02340617"/>
    <w:rsid w:val="02E84680"/>
    <w:rsid w:val="03250BB4"/>
    <w:rsid w:val="036F3C68"/>
    <w:rsid w:val="0393534C"/>
    <w:rsid w:val="03F1503F"/>
    <w:rsid w:val="043B4C5B"/>
    <w:rsid w:val="04555532"/>
    <w:rsid w:val="05C3589B"/>
    <w:rsid w:val="05F15F19"/>
    <w:rsid w:val="06267DB5"/>
    <w:rsid w:val="064D4F66"/>
    <w:rsid w:val="06AB256C"/>
    <w:rsid w:val="06C522F3"/>
    <w:rsid w:val="070D6E8D"/>
    <w:rsid w:val="07FE5D3D"/>
    <w:rsid w:val="080E352C"/>
    <w:rsid w:val="084431CA"/>
    <w:rsid w:val="084502A9"/>
    <w:rsid w:val="084A1910"/>
    <w:rsid w:val="088439D9"/>
    <w:rsid w:val="089715E3"/>
    <w:rsid w:val="09AC0E84"/>
    <w:rsid w:val="0A2C6A1F"/>
    <w:rsid w:val="0B043FF8"/>
    <w:rsid w:val="0B1A0DCC"/>
    <w:rsid w:val="0B985007"/>
    <w:rsid w:val="0B9C7B56"/>
    <w:rsid w:val="0BE502CE"/>
    <w:rsid w:val="0BF56037"/>
    <w:rsid w:val="0BFC73C5"/>
    <w:rsid w:val="0C236257"/>
    <w:rsid w:val="0C28640C"/>
    <w:rsid w:val="0C6A07D3"/>
    <w:rsid w:val="0CE11CD3"/>
    <w:rsid w:val="0D442DD2"/>
    <w:rsid w:val="0D8B2166"/>
    <w:rsid w:val="0E754B4D"/>
    <w:rsid w:val="0E9333DE"/>
    <w:rsid w:val="0F805EC5"/>
    <w:rsid w:val="0FE05C95"/>
    <w:rsid w:val="0FF24D67"/>
    <w:rsid w:val="106F460A"/>
    <w:rsid w:val="10C1473A"/>
    <w:rsid w:val="1120736F"/>
    <w:rsid w:val="1138572A"/>
    <w:rsid w:val="113979F7"/>
    <w:rsid w:val="118E0F65"/>
    <w:rsid w:val="119F02DF"/>
    <w:rsid w:val="11C21DA5"/>
    <w:rsid w:val="122E5C58"/>
    <w:rsid w:val="13F14395"/>
    <w:rsid w:val="143A0A8B"/>
    <w:rsid w:val="143C0CA7"/>
    <w:rsid w:val="146E5BB6"/>
    <w:rsid w:val="14E852CD"/>
    <w:rsid w:val="150F1F88"/>
    <w:rsid w:val="153534A1"/>
    <w:rsid w:val="15785D0F"/>
    <w:rsid w:val="15793835"/>
    <w:rsid w:val="157B57FF"/>
    <w:rsid w:val="15FD6214"/>
    <w:rsid w:val="164C37D6"/>
    <w:rsid w:val="169E5294"/>
    <w:rsid w:val="16B17A67"/>
    <w:rsid w:val="16D046B6"/>
    <w:rsid w:val="17F322B2"/>
    <w:rsid w:val="1813305C"/>
    <w:rsid w:val="18850BC0"/>
    <w:rsid w:val="190E24E6"/>
    <w:rsid w:val="192B4E46"/>
    <w:rsid w:val="192E3DD0"/>
    <w:rsid w:val="1A4A57A0"/>
    <w:rsid w:val="1AAA751A"/>
    <w:rsid w:val="1AF23E6D"/>
    <w:rsid w:val="1B1E2EB4"/>
    <w:rsid w:val="1B310A66"/>
    <w:rsid w:val="1B5A6653"/>
    <w:rsid w:val="1BB144E7"/>
    <w:rsid w:val="1BB84A7E"/>
    <w:rsid w:val="1BCC1DC6"/>
    <w:rsid w:val="1CBC1281"/>
    <w:rsid w:val="1CDB049A"/>
    <w:rsid w:val="1D0363C8"/>
    <w:rsid w:val="1D152095"/>
    <w:rsid w:val="1D425610"/>
    <w:rsid w:val="1DA8630F"/>
    <w:rsid w:val="1E0F36AA"/>
    <w:rsid w:val="1E1265D5"/>
    <w:rsid w:val="1E4F7829"/>
    <w:rsid w:val="1E764DB5"/>
    <w:rsid w:val="1EDA3596"/>
    <w:rsid w:val="1F470500"/>
    <w:rsid w:val="20076D9A"/>
    <w:rsid w:val="203B0065"/>
    <w:rsid w:val="20783067"/>
    <w:rsid w:val="20AE01DC"/>
    <w:rsid w:val="20D61B3B"/>
    <w:rsid w:val="21766897"/>
    <w:rsid w:val="2198776E"/>
    <w:rsid w:val="21F26E49"/>
    <w:rsid w:val="226C2F40"/>
    <w:rsid w:val="22804328"/>
    <w:rsid w:val="22A719E1"/>
    <w:rsid w:val="233A2855"/>
    <w:rsid w:val="240370EB"/>
    <w:rsid w:val="2479115B"/>
    <w:rsid w:val="24F9780D"/>
    <w:rsid w:val="25641E0C"/>
    <w:rsid w:val="25BA7004"/>
    <w:rsid w:val="266C1D38"/>
    <w:rsid w:val="26EC6338"/>
    <w:rsid w:val="27066B06"/>
    <w:rsid w:val="274A3283"/>
    <w:rsid w:val="2888490F"/>
    <w:rsid w:val="28C91CD2"/>
    <w:rsid w:val="28FD51EB"/>
    <w:rsid w:val="2A5A65E3"/>
    <w:rsid w:val="2A9A007E"/>
    <w:rsid w:val="2AE6612C"/>
    <w:rsid w:val="2B3C2EE3"/>
    <w:rsid w:val="2BB544EB"/>
    <w:rsid w:val="2BE94E19"/>
    <w:rsid w:val="2C5F332D"/>
    <w:rsid w:val="2DAD00C8"/>
    <w:rsid w:val="2DF61A6F"/>
    <w:rsid w:val="2E1A2818"/>
    <w:rsid w:val="2E1B14D5"/>
    <w:rsid w:val="2E6C1F54"/>
    <w:rsid w:val="2E835622"/>
    <w:rsid w:val="2EE61AE3"/>
    <w:rsid w:val="2F085B95"/>
    <w:rsid w:val="2F340C40"/>
    <w:rsid w:val="2FA21B63"/>
    <w:rsid w:val="2FB67B96"/>
    <w:rsid w:val="309D3D98"/>
    <w:rsid w:val="30BC0D4E"/>
    <w:rsid w:val="30D36097"/>
    <w:rsid w:val="30DA5FB3"/>
    <w:rsid w:val="312E6165"/>
    <w:rsid w:val="32222E32"/>
    <w:rsid w:val="33266952"/>
    <w:rsid w:val="33B0446E"/>
    <w:rsid w:val="341A3513"/>
    <w:rsid w:val="348F6870"/>
    <w:rsid w:val="349F69BC"/>
    <w:rsid w:val="3546423D"/>
    <w:rsid w:val="35607ADF"/>
    <w:rsid w:val="35CA0D85"/>
    <w:rsid w:val="365B705D"/>
    <w:rsid w:val="36CE14BB"/>
    <w:rsid w:val="3716079B"/>
    <w:rsid w:val="376161AB"/>
    <w:rsid w:val="37697B4D"/>
    <w:rsid w:val="37785B0F"/>
    <w:rsid w:val="380F026E"/>
    <w:rsid w:val="38871C41"/>
    <w:rsid w:val="388C01E2"/>
    <w:rsid w:val="38C27277"/>
    <w:rsid w:val="38C61316"/>
    <w:rsid w:val="3A00614F"/>
    <w:rsid w:val="3A055B0F"/>
    <w:rsid w:val="3A217E73"/>
    <w:rsid w:val="3A4818A4"/>
    <w:rsid w:val="3BBA5E6A"/>
    <w:rsid w:val="3C961075"/>
    <w:rsid w:val="3C9C64EF"/>
    <w:rsid w:val="3CBC278C"/>
    <w:rsid w:val="3CE21E78"/>
    <w:rsid w:val="3D632AD1"/>
    <w:rsid w:val="3DAF51DD"/>
    <w:rsid w:val="3DD1731D"/>
    <w:rsid w:val="3DF63F86"/>
    <w:rsid w:val="3E043D34"/>
    <w:rsid w:val="3E5C270D"/>
    <w:rsid w:val="3E6B790F"/>
    <w:rsid w:val="3E816061"/>
    <w:rsid w:val="3ECB1B04"/>
    <w:rsid w:val="3F481B04"/>
    <w:rsid w:val="4020118E"/>
    <w:rsid w:val="411A73CB"/>
    <w:rsid w:val="4155108D"/>
    <w:rsid w:val="41994793"/>
    <w:rsid w:val="41A526BD"/>
    <w:rsid w:val="421B164C"/>
    <w:rsid w:val="423170C2"/>
    <w:rsid w:val="42607D05"/>
    <w:rsid w:val="426B25D4"/>
    <w:rsid w:val="429733C9"/>
    <w:rsid w:val="430622FC"/>
    <w:rsid w:val="4385720D"/>
    <w:rsid w:val="439F0F34"/>
    <w:rsid w:val="44046585"/>
    <w:rsid w:val="4416656F"/>
    <w:rsid w:val="443C3B40"/>
    <w:rsid w:val="44ED3AEF"/>
    <w:rsid w:val="44EE43A5"/>
    <w:rsid w:val="44F468B0"/>
    <w:rsid w:val="455530C7"/>
    <w:rsid w:val="458F65D9"/>
    <w:rsid w:val="45EC0CF9"/>
    <w:rsid w:val="460D4F3B"/>
    <w:rsid w:val="463A4797"/>
    <w:rsid w:val="467F19C8"/>
    <w:rsid w:val="46935C55"/>
    <w:rsid w:val="46F337F6"/>
    <w:rsid w:val="47226FD9"/>
    <w:rsid w:val="47610892"/>
    <w:rsid w:val="47653ED7"/>
    <w:rsid w:val="477F442B"/>
    <w:rsid w:val="4783111F"/>
    <w:rsid w:val="48897310"/>
    <w:rsid w:val="48C32A03"/>
    <w:rsid w:val="4972249A"/>
    <w:rsid w:val="49A32653"/>
    <w:rsid w:val="49EE0D05"/>
    <w:rsid w:val="4A17094B"/>
    <w:rsid w:val="4A6E532C"/>
    <w:rsid w:val="4B7122DD"/>
    <w:rsid w:val="4B895879"/>
    <w:rsid w:val="4C123ECB"/>
    <w:rsid w:val="4C313B96"/>
    <w:rsid w:val="4C72630D"/>
    <w:rsid w:val="4CC50B32"/>
    <w:rsid w:val="4CCC37E0"/>
    <w:rsid w:val="4D281BA6"/>
    <w:rsid w:val="4D8602C2"/>
    <w:rsid w:val="4E4C52A4"/>
    <w:rsid w:val="4E571C5E"/>
    <w:rsid w:val="4E8F31A6"/>
    <w:rsid w:val="4ECC2672"/>
    <w:rsid w:val="4ECF272A"/>
    <w:rsid w:val="4F13483C"/>
    <w:rsid w:val="4F544E9B"/>
    <w:rsid w:val="4F8E7901"/>
    <w:rsid w:val="4FE37C4D"/>
    <w:rsid w:val="5079410E"/>
    <w:rsid w:val="50A15412"/>
    <w:rsid w:val="50A3269F"/>
    <w:rsid w:val="511F0EDE"/>
    <w:rsid w:val="51221CEF"/>
    <w:rsid w:val="5167665C"/>
    <w:rsid w:val="518E3BE9"/>
    <w:rsid w:val="51E91779"/>
    <w:rsid w:val="520E2F00"/>
    <w:rsid w:val="52655F7B"/>
    <w:rsid w:val="52707BDA"/>
    <w:rsid w:val="527578BA"/>
    <w:rsid w:val="52AA30C5"/>
    <w:rsid w:val="52F85E4C"/>
    <w:rsid w:val="53067CCF"/>
    <w:rsid w:val="535C1095"/>
    <w:rsid w:val="537E53D3"/>
    <w:rsid w:val="53A4648D"/>
    <w:rsid w:val="53B536AF"/>
    <w:rsid w:val="53C733E2"/>
    <w:rsid w:val="541859EC"/>
    <w:rsid w:val="54237799"/>
    <w:rsid w:val="54332825"/>
    <w:rsid w:val="549E05E7"/>
    <w:rsid w:val="5551374B"/>
    <w:rsid w:val="55532C46"/>
    <w:rsid w:val="55651104"/>
    <w:rsid w:val="55E738C7"/>
    <w:rsid w:val="5632548A"/>
    <w:rsid w:val="567F61F6"/>
    <w:rsid w:val="568D48D7"/>
    <w:rsid w:val="568E6439"/>
    <w:rsid w:val="56FA2CC4"/>
    <w:rsid w:val="57100E9A"/>
    <w:rsid w:val="57311411"/>
    <w:rsid w:val="573256C5"/>
    <w:rsid w:val="57502FB0"/>
    <w:rsid w:val="57B27F05"/>
    <w:rsid w:val="57F64A80"/>
    <w:rsid w:val="587B479B"/>
    <w:rsid w:val="58A261CC"/>
    <w:rsid w:val="58DC16DE"/>
    <w:rsid w:val="58F702C5"/>
    <w:rsid w:val="59CF4D9E"/>
    <w:rsid w:val="59F44805"/>
    <w:rsid w:val="5A4D1840"/>
    <w:rsid w:val="5A676681"/>
    <w:rsid w:val="5A6C741D"/>
    <w:rsid w:val="5AB34D44"/>
    <w:rsid w:val="5ACA0E33"/>
    <w:rsid w:val="5AD13480"/>
    <w:rsid w:val="5B1F58B2"/>
    <w:rsid w:val="5B557525"/>
    <w:rsid w:val="5B9A55D8"/>
    <w:rsid w:val="5C8E7193"/>
    <w:rsid w:val="5CEC5C67"/>
    <w:rsid w:val="5D4B4D00"/>
    <w:rsid w:val="5DE43CE0"/>
    <w:rsid w:val="5E04719B"/>
    <w:rsid w:val="5E443FAD"/>
    <w:rsid w:val="5ED4120C"/>
    <w:rsid w:val="5FEA2932"/>
    <w:rsid w:val="60397415"/>
    <w:rsid w:val="603E496C"/>
    <w:rsid w:val="6089214B"/>
    <w:rsid w:val="60C41052"/>
    <w:rsid w:val="61192954"/>
    <w:rsid w:val="613153B1"/>
    <w:rsid w:val="615C160D"/>
    <w:rsid w:val="61AD1E69"/>
    <w:rsid w:val="61D76EE6"/>
    <w:rsid w:val="622C5484"/>
    <w:rsid w:val="626B590B"/>
    <w:rsid w:val="628F5A13"/>
    <w:rsid w:val="62922837"/>
    <w:rsid w:val="62E02800"/>
    <w:rsid w:val="635D78BF"/>
    <w:rsid w:val="63AA090A"/>
    <w:rsid w:val="63AC602E"/>
    <w:rsid w:val="64915A72"/>
    <w:rsid w:val="64DB76E4"/>
    <w:rsid w:val="650E0E71"/>
    <w:rsid w:val="651D10B4"/>
    <w:rsid w:val="654725D5"/>
    <w:rsid w:val="65740FB6"/>
    <w:rsid w:val="65C459D3"/>
    <w:rsid w:val="65FC1E91"/>
    <w:rsid w:val="66174109"/>
    <w:rsid w:val="665925BF"/>
    <w:rsid w:val="666F7BA1"/>
    <w:rsid w:val="66C80D59"/>
    <w:rsid w:val="66F41C5B"/>
    <w:rsid w:val="670A38BA"/>
    <w:rsid w:val="67361453"/>
    <w:rsid w:val="67A92B24"/>
    <w:rsid w:val="67D01ED8"/>
    <w:rsid w:val="67E660D5"/>
    <w:rsid w:val="6829511B"/>
    <w:rsid w:val="68CA6198"/>
    <w:rsid w:val="69C54E75"/>
    <w:rsid w:val="69C8482C"/>
    <w:rsid w:val="6A7B1437"/>
    <w:rsid w:val="6A8B6AC0"/>
    <w:rsid w:val="6A8C757B"/>
    <w:rsid w:val="6A8D2838"/>
    <w:rsid w:val="6A9F163E"/>
    <w:rsid w:val="6AB46793"/>
    <w:rsid w:val="6ABB09AA"/>
    <w:rsid w:val="6AC45DE2"/>
    <w:rsid w:val="6ADE1655"/>
    <w:rsid w:val="6B104EE7"/>
    <w:rsid w:val="6B166CD1"/>
    <w:rsid w:val="6B597CF5"/>
    <w:rsid w:val="6BFB2DE6"/>
    <w:rsid w:val="6C172D01"/>
    <w:rsid w:val="6C3A1AA7"/>
    <w:rsid w:val="6C9B48A9"/>
    <w:rsid w:val="6D033285"/>
    <w:rsid w:val="6D1572C2"/>
    <w:rsid w:val="6E874588"/>
    <w:rsid w:val="6E8C1058"/>
    <w:rsid w:val="6EE17474"/>
    <w:rsid w:val="6EF536DC"/>
    <w:rsid w:val="6F2D45E9"/>
    <w:rsid w:val="6F4B1A21"/>
    <w:rsid w:val="6FA32AFD"/>
    <w:rsid w:val="6FB2689C"/>
    <w:rsid w:val="710E3FA6"/>
    <w:rsid w:val="71613864"/>
    <w:rsid w:val="717821B0"/>
    <w:rsid w:val="72D134DE"/>
    <w:rsid w:val="730E028E"/>
    <w:rsid w:val="73685BF0"/>
    <w:rsid w:val="73BE5522"/>
    <w:rsid w:val="73D17D91"/>
    <w:rsid w:val="74354CF7"/>
    <w:rsid w:val="7487479C"/>
    <w:rsid w:val="74A64283"/>
    <w:rsid w:val="74E4399C"/>
    <w:rsid w:val="74EE2270"/>
    <w:rsid w:val="762027B2"/>
    <w:rsid w:val="76410D2C"/>
    <w:rsid w:val="767825EE"/>
    <w:rsid w:val="76DF12C4"/>
    <w:rsid w:val="772257C1"/>
    <w:rsid w:val="77AD276B"/>
    <w:rsid w:val="77B238DE"/>
    <w:rsid w:val="7801658F"/>
    <w:rsid w:val="7824175F"/>
    <w:rsid w:val="79701CA2"/>
    <w:rsid w:val="79A84B20"/>
    <w:rsid w:val="79B032BC"/>
    <w:rsid w:val="79F34683"/>
    <w:rsid w:val="79F92575"/>
    <w:rsid w:val="7A103A8A"/>
    <w:rsid w:val="7A594568"/>
    <w:rsid w:val="7A8A0B42"/>
    <w:rsid w:val="7A9B0A8A"/>
    <w:rsid w:val="7AB3316B"/>
    <w:rsid w:val="7AD24297"/>
    <w:rsid w:val="7AD4000F"/>
    <w:rsid w:val="7B6337D4"/>
    <w:rsid w:val="7BE909F8"/>
    <w:rsid w:val="7C5C650E"/>
    <w:rsid w:val="7C7C50AF"/>
    <w:rsid w:val="7CBB1CA5"/>
    <w:rsid w:val="7CC223AE"/>
    <w:rsid w:val="7DDB16B4"/>
    <w:rsid w:val="7E94308B"/>
    <w:rsid w:val="7EE1668D"/>
    <w:rsid w:val="7F080287"/>
    <w:rsid w:val="7F710AA7"/>
    <w:rsid w:val="7FB75D6F"/>
    <w:rsid w:val="7FEE56C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0">
    <w:name w:val="Default Paragraph Font"/>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annotation text"/>
    <w:basedOn w:val="1"/>
    <w:autoRedefine/>
    <w:qFormat/>
    <w:uiPriority w:val="0"/>
    <w:pPr>
      <w:jc w:val="left"/>
    </w:pPr>
  </w:style>
  <w:style w:type="paragraph" w:styleId="5">
    <w:name w:val="Body Text"/>
    <w:basedOn w:val="1"/>
    <w:autoRedefine/>
    <w:semiHidden/>
    <w:qFormat/>
    <w:uiPriority w:val="0"/>
    <w:rPr>
      <w:rFonts w:ascii="微软雅黑" w:hAnsi="微软雅黑" w:eastAsia="微软雅黑" w:cs="微软雅黑"/>
      <w:sz w:val="29"/>
      <w:szCs w:val="29"/>
      <w:lang w:val="en-US" w:eastAsia="en-US"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table" w:customStyle="1" w:styleId="11">
    <w:name w:val="Table Normal"/>
    <w:semiHidden/>
    <w:unhideWhenUsed/>
    <w:qFormat/>
    <w:uiPriority w:val="0"/>
    <w:tblPr>
      <w:tblCellMar>
        <w:top w:w="0" w:type="dxa"/>
        <w:left w:w="0" w:type="dxa"/>
        <w:bottom w:w="0" w:type="dxa"/>
        <w:right w:w="0" w:type="dxa"/>
      </w:tblCellMar>
    </w:tblPr>
  </w:style>
  <w:style w:type="character" w:customStyle="1" w:styleId="12">
    <w:name w:val="font41"/>
    <w:basedOn w:val="10"/>
    <w:qFormat/>
    <w:uiPriority w:val="0"/>
    <w:rPr>
      <w:rFonts w:hint="eastAsia" w:ascii="仿宋" w:hAnsi="仿宋" w:eastAsia="仿宋" w:cs="仿宋"/>
      <w:color w:val="000000"/>
      <w:sz w:val="22"/>
      <w:szCs w:val="22"/>
      <w:u w:val="none"/>
    </w:rPr>
  </w:style>
  <w:style w:type="character" w:customStyle="1" w:styleId="13">
    <w:name w:val="font61"/>
    <w:basedOn w:val="10"/>
    <w:qFormat/>
    <w:uiPriority w:val="0"/>
    <w:rPr>
      <w:rFonts w:hint="eastAsia" w:ascii="仿宋" w:hAnsi="仿宋" w:eastAsia="仿宋" w:cs="仿宋"/>
      <w:color w:val="000000"/>
      <w:sz w:val="22"/>
      <w:szCs w:val="22"/>
      <w:u w:val="none"/>
    </w:rPr>
  </w:style>
  <w:style w:type="character" w:customStyle="1" w:styleId="14">
    <w:name w:val="font71"/>
    <w:basedOn w:val="10"/>
    <w:autoRedefine/>
    <w:qFormat/>
    <w:uiPriority w:val="0"/>
    <w:rPr>
      <w:rFonts w:ascii="Symbol" w:hAnsi="Symbol" w:cs="Symbol"/>
      <w:color w:val="000000"/>
      <w:sz w:val="22"/>
      <w:szCs w:val="22"/>
      <w:u w:val="none"/>
    </w:rPr>
  </w:style>
  <w:style w:type="character" w:customStyle="1" w:styleId="15">
    <w:name w:val="font31"/>
    <w:basedOn w:val="10"/>
    <w:autoRedefine/>
    <w:qFormat/>
    <w:uiPriority w:val="0"/>
    <w:rPr>
      <w:rFonts w:hint="default" w:ascii="Calibri" w:hAnsi="Calibri" w:cs="Calibri"/>
      <w:color w:val="000000"/>
      <w:sz w:val="22"/>
      <w:szCs w:val="22"/>
      <w:u w:val="none"/>
    </w:rPr>
  </w:style>
  <w:style w:type="character" w:customStyle="1" w:styleId="16">
    <w:name w:val="font01"/>
    <w:basedOn w:val="10"/>
    <w:qFormat/>
    <w:uiPriority w:val="0"/>
    <w:rPr>
      <w:rFonts w:hint="eastAsia" w:ascii="宋体" w:hAnsi="宋体" w:eastAsia="宋体" w:cs="宋体"/>
      <w:color w:val="000000"/>
      <w:sz w:val="22"/>
      <w:szCs w:val="22"/>
      <w:u w:val="none"/>
    </w:rPr>
  </w:style>
  <w:style w:type="character" w:customStyle="1" w:styleId="17">
    <w:name w:val="NormalCharacter"/>
    <w:qFormat/>
    <w:uiPriority w:val="0"/>
    <w:rPr>
      <w:rFonts w:ascii="等线" w:hAnsi="等线" w:eastAsia="等线" w:cs="Times New Roman"/>
      <w:kern w:val="2"/>
      <w:sz w:val="21"/>
      <w:szCs w:val="22"/>
      <w:lang w:val="en-US" w:eastAsia="zh-CN" w:bidi="ar-SA"/>
    </w:rPr>
  </w:style>
  <w:style w:type="character" w:customStyle="1" w:styleId="18">
    <w:name w:val="PageNumber"/>
    <w:qFormat/>
    <w:uiPriority w:val="0"/>
    <w:rPr>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9</Pages>
  <Words>3578</Words>
  <Characters>3601</Characters>
  <TotalTime>17</TotalTime>
  <ScaleCrop>false</ScaleCrop>
  <LinksUpToDate>false</LinksUpToDate>
  <CharactersWithSpaces>3821</CharactersWithSpaces>
  <Application>WPS Office_12.1.0.20784_F1E327BC-269C-435d-A152-05C5408002CA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2023-05-15T09:40:00Z</dcterms:created>
  <dc:creator>Kingsoft-PDF</dc:creator>
  <cp:lastModifiedBy>李夏</cp:lastModifiedBy>
  <cp:lastPrinted>2025-04-14T07:09:00Z</cp:lastPrinted>
  <dcterms:modified xsi:type="dcterms:W3CDTF">2025-04-16T05:26:57Z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2023-05-15T09:40:38Z</vt:filetime>
  </property>
  <property fmtid="{D5CDD505-2E9C-101B-9397-08002B2CF9AE}" pid="4" name="UsrData">
    <vt:lpwstr>64618d540c8b290015572e24</vt:lpwstr>
  </property>
  <property fmtid="{D5CDD505-2E9C-101B-9397-08002B2CF9AE}" pid="5" name="KSOProductBuildVer">
    <vt:lpwstr>2052-12.1.0.20784</vt:lpwstr>
  </property>
  <property fmtid="{D5CDD505-2E9C-101B-9397-08002B2CF9AE}" pid="6" name="ICV">
    <vt:lpwstr>E28FE529822D417F97DFC15C011C8A0C_13</vt:lpwstr>
  </property>
  <property fmtid="{D5CDD505-2E9C-101B-9397-08002B2CF9AE}" pid="7" name="KSOTemplateDocerSaveRecord">
    <vt:lpwstr>eyJoZGlkIjoiYWMzMmY1NDE3MzFlN2RhZWViZWJjM2Q1NjgxNjQ4ZWYiLCJ1c2VySWQiOiIxNjgyMjQ1MzU0In0=</vt:lpwstr>
  </property>
</Properties>
</file>