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6ABFAD">
      <w:pPr>
        <w:snapToGrid w:val="0"/>
        <w:spacing w:line="336" w:lineRule="auto"/>
        <w:jc w:val="center"/>
        <w:rPr>
          <w:rFonts w:ascii="Times New Roman" w:hAnsi="Times New Roman" w:eastAsia="方正舒体" w:cs="Times New Roman"/>
          <w:sz w:val="36"/>
          <w:szCs w:val="36"/>
        </w:rPr>
      </w:pPr>
      <w:r>
        <w:rPr>
          <w:rFonts w:ascii="Times New Roman" w:hAnsi="Times New Roman" w:eastAsia="方正舒体" w:cs="Times New Roman"/>
          <w:sz w:val="36"/>
          <w:szCs w:val="36"/>
        </w:rPr>
        <w:t>上海电子信息职业技术学院</w:t>
      </w:r>
    </w:p>
    <w:p w14:paraId="1E95C632">
      <w:pPr>
        <w:spacing w:line="336" w:lineRule="auto"/>
        <w:jc w:val="center"/>
        <w:rPr>
          <w:rFonts w:ascii="Times New Roman" w:hAnsi="Times New Roman" w:eastAsia="华文宋体" w:cs="Times New Roman"/>
          <w:b/>
          <w:sz w:val="32"/>
          <w:szCs w:val="32"/>
        </w:rPr>
      </w:pPr>
      <w:r>
        <w:rPr>
          <w:rFonts w:ascii="Times New Roman" w:hAnsi="Times New Roman" w:eastAsia="华文宋体" w:cs="Times New Roman"/>
          <w:b/>
          <w:sz w:val="32"/>
          <w:szCs w:val="32"/>
        </w:rPr>
        <w:t>20</w:t>
      </w:r>
      <w:r>
        <w:rPr>
          <w:rFonts w:hint="eastAsia" w:ascii="Times New Roman" w:hAnsi="Times New Roman" w:eastAsia="华文宋体" w:cs="Times New Roman"/>
          <w:b/>
          <w:sz w:val="32"/>
          <w:szCs w:val="32"/>
          <w:lang w:val="en-US" w:eastAsia="zh-CN"/>
        </w:rPr>
        <w:t>25</w:t>
      </w:r>
      <w:r>
        <w:rPr>
          <w:rFonts w:ascii="Times New Roman" w:hAnsi="Times New Roman" w:eastAsia="华文宋体" w:cs="Times New Roman"/>
          <w:b/>
          <w:sz w:val="32"/>
          <w:szCs w:val="32"/>
        </w:rPr>
        <w:t>年度</w:t>
      </w:r>
      <w:r>
        <w:rPr>
          <w:rFonts w:ascii="Times New Roman" w:hAnsi="Times New Roman" w:eastAsia="华文宋体" w:cs="Times New Roman"/>
          <w:b/>
          <w:sz w:val="32"/>
          <w:szCs w:val="32"/>
          <w:highlight w:val="none"/>
        </w:rPr>
        <w:t>学风建设</w:t>
      </w:r>
      <w:r>
        <w:rPr>
          <w:rFonts w:ascii="Times New Roman" w:hAnsi="Times New Roman" w:eastAsia="华文宋体" w:cs="Times New Roman"/>
          <w:b/>
          <w:sz w:val="32"/>
          <w:szCs w:val="32"/>
        </w:rPr>
        <w:t>工作情况报告</w:t>
      </w:r>
    </w:p>
    <w:p w14:paraId="68ED7479">
      <w:pPr>
        <w:rPr>
          <w:rFonts w:hint="eastAsia" w:eastAsiaTheme="minorEastAsia"/>
          <w:lang w:eastAsia="zh-CN"/>
        </w:rPr>
      </w:pPr>
    </w:p>
    <w:p w14:paraId="19E9C1A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highlight w:val="cyan"/>
          <w:lang w:val="en-US" w:eastAsia="zh-CN"/>
        </w:rPr>
      </w:pPr>
      <w:r>
        <w:rPr>
          <w:rFonts w:hint="eastAsia" w:ascii="宋体" w:hAnsi="宋体" w:eastAsia="宋体" w:cs="宋体"/>
          <w:sz w:val="24"/>
          <w:szCs w:val="24"/>
          <w:highlight w:val="none"/>
          <w:lang w:val="en-US" w:eastAsia="zh-CN"/>
        </w:rPr>
        <w:t>学风乃学校之魂，是教育质量与办学水平的关键标尺，关乎学生的成长成才与学校的长远发展。上海电子信息职业技术学院始终将学风建设置于重要位置，常抓不懈。多年来，学校在学校学风、教风建设领导小组的引领下，紧扣立德树人根本任务，坚守社会主义核心价值观在育人中的核心地位，积极践行“尚德修能、知行合一”的校训。为进一步提升人才培养质量，营造浓厚学术氛围与积极向上学习环境，学校持续发力，不断创新举措。2025年，由学生处、教务处和科研处牵头，深入推进学风教风建设，现将具体工作情况汇报如下：</w:t>
      </w:r>
    </w:p>
    <w:p w14:paraId="0A41D7F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一、聚焦思想引领，加强教育管理服务，营造良好学风氛围。</w:t>
      </w:r>
    </w:p>
    <w:p w14:paraId="3D72E13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1.注重思想教育，夯实学风根本</w:t>
      </w:r>
    </w:p>
    <w:p w14:paraId="05ECA7F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思想引领是学风建设的根基。我校始终将思想教育摆在首要位置，深刻认识到优良学风对于塑造学生思想品德、端正学习态度、提升综合素养的基石作用。学生处系统性地将学风教风建设融入主题班会、主题讲座与系列教育活动中，依托多元化、分层次的教育手段，着力激发学生的内生学习动力，提升其自主探究与高效学习的能力。同时，注重将思想引领与学业职业发展相结合，指导学生基于个人志趣与专业特长，科学规划职业生涯，明晰未来发展路径。</w:t>
      </w:r>
    </w:p>
    <w:p w14:paraId="589E127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2.完善制度体系，夯实学风建设长效机制</w:t>
      </w:r>
    </w:p>
    <w:p w14:paraId="700A33E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制度是学风建设持续有效推进的根本保障。学生处坚持以目标为导向与问题导向相结合，通过专题座谈、问卷调查等方式，深入诊断当前学生管理与学风建设中的难点与瓶颈。以此为基础，牵头完成了《学生手册》的系统性修订工作。新版手册不仅进一步夯实了学生管理、教学规范与校园秩序的基础，更关键的是，将“德智体美劳全面发展”的育人目标有机融入制度设计，显著强化了素质教育的导向性与整体性，实现了管理制度与育人目标的协同统一，为学风建设的持续深化提供了前瞻性的规划与根本遵循。</w:t>
      </w:r>
    </w:p>
    <w:p w14:paraId="400A9F0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3.发挥榜样力量，引领学风建设</w:t>
      </w:r>
    </w:p>
    <w:p w14:paraId="263CB4C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学校高度重视榜样群体的示范引领作用，通过系统化、多层次的典型选树与宣传机制，营造“崇尚先进、见贤思齐”的校园风尚。一方面，学校持续开展“大学生年度之星”评选活动，并推出“国家上奖获奖学生先进事迹报告会”“匠心榜样说”等品牌活动。例如，在2025年国家奖学金答辩暨优秀学生报告会中，多名国奖获得者围绕学业规划、科研竞赛、时间管理等主题分享经验，如绩点与综测双优学生介绍“目标拆解式学习法”，竞赛获奖者强调“以赛促学、攻坚克难”的实践精神，有效激发了学生的内在动力。</w:t>
      </w:r>
    </w:p>
    <w:p w14:paraId="6996CEA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另一方面，学校构建“线上+线下”立体化宣传矩阵。在线下，通过设立榜样风采展板、组织“学风建设主题答辩会”等活动，让榜样事迹可感可学；在线上，依托微信公众号、校园网等平台推出“国奖风采展示”专栏，深入报道优秀学生在学术创新、社会服务、文体发展等领域的突出事迹。通过这些举措，学校不仅树立了鲜活的学习典范，更引导学生以严谨治学、勤勉务实的态度投身学风建设，持续营造积极向上的成长环境。</w:t>
      </w:r>
    </w:p>
    <w:p w14:paraId="08DE9AD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4.加强“一站式”学生社区建设，营造良好文化氛围</w:t>
      </w:r>
    </w:p>
    <w:p w14:paraId="5A44D64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严格执行“一站式”学生社区管理制度，签订“安全告知书”和“住宿承诺书”，以深化环境育人的理念。定期开展寝室卫生和安全检查，并及时通报结果，确保督促落实。开展“文明寝室”“雅室”等评选活动，教育引导学生营造文明和谐的学习、生活环境。推进辅导员深入“一站式”学生社区，积极开展党团活动和安全教育，增强学生的安全意识和责任感，培养自我管理能力，打造文明和谐的公寓氛围。加强“一站式”学生社区自我管理队伍建设，发挥学生自我教育、自我管理、自我服务的作用。</w:t>
      </w:r>
    </w:p>
    <w:p w14:paraId="3682702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5.加强辅导员队伍建设，推动学风建设</w:t>
      </w:r>
    </w:p>
    <w:p w14:paraId="0054D7E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辅导员队伍是落实立德树人根本任务、推进学风建设的关键力量。学生处高度重视辅导员队伍的专业发展与师德建设，系统推进“育人为本、德育为先”的培养理念，持续完善培训体系与激励机制，全面提升辅导员在思想引领、学业指导、生涯发展等方面的综合能力。在具体实践中，学校推动辅导员常态化深入教学一线，通过随堂听课、教学巡查、师生座谈等方式，精准掌握学生学习状态与课堂实效。辅导员积极参与教学组织与课堂管理，协助营造秩序井然、互动积极的教学环境，在规范学生行为的同时，也有效延伸了育人阵地。此外，辅导员还协同专任教师开展课程思政建设、学业困难帮扶和学科竞赛指导，推动形成“教—学—管”联动的良好生态，切实巩固课堂教学在学风建设中的核心地位。</w:t>
      </w:r>
    </w:p>
    <w:p w14:paraId="696BC650">
      <w:pPr>
        <w:numPr>
          <w:ilvl w:val="0"/>
          <w:numId w:val="0"/>
        </w:numPr>
        <w:ind w:left="420" w:leftChars="0"/>
        <w:rPr>
          <w:rFonts w:ascii="Segoe UI" w:hAnsi="Segoe UI" w:eastAsia="Segoe UI" w:cs="Segoe UI"/>
          <w:i w:val="0"/>
          <w:iCs w:val="0"/>
          <w:caps w:val="0"/>
          <w:spacing w:val="0"/>
          <w:sz w:val="24"/>
          <w:szCs w:val="24"/>
          <w:shd w:val="clear" w:fill="FFFFFF"/>
        </w:rPr>
      </w:pPr>
      <w:r>
        <w:rPr>
          <w:rFonts w:hint="eastAsia" w:ascii="宋体" w:hAnsi="宋体" w:eastAsia="宋体" w:cs="宋体"/>
          <w:sz w:val="24"/>
          <w:szCs w:val="24"/>
          <w:highlight w:val="none"/>
          <w:lang w:val="en-US" w:eastAsia="zh-CN"/>
        </w:rPr>
        <w:t>二、锚定规</w:t>
      </w:r>
      <w:r>
        <w:rPr>
          <w:rFonts w:ascii="Segoe UI" w:hAnsi="Segoe UI" w:eastAsia="Segoe UI" w:cs="Segoe UI"/>
          <w:i w:val="0"/>
          <w:iCs w:val="0"/>
          <w:caps w:val="0"/>
          <w:spacing w:val="0"/>
          <w:sz w:val="24"/>
          <w:szCs w:val="24"/>
          <w:highlight w:val="none"/>
          <w:shd w:val="clear" w:fill="FFFFFF"/>
        </w:rPr>
        <w:t>范</w:t>
      </w:r>
      <w:r>
        <w:rPr>
          <w:rFonts w:ascii="Segoe UI" w:hAnsi="Segoe UI" w:eastAsia="Segoe UI" w:cs="Segoe UI"/>
          <w:i w:val="0"/>
          <w:iCs w:val="0"/>
          <w:caps w:val="0"/>
          <w:spacing w:val="0"/>
          <w:sz w:val="24"/>
          <w:szCs w:val="24"/>
          <w:shd w:val="clear" w:fill="FFFFFF"/>
        </w:rPr>
        <w:t>导向，丰富活动内容，共筑优良教风和学风</w:t>
      </w:r>
    </w:p>
    <w:p w14:paraId="281E406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 xml:space="preserve">1. </w:t>
      </w:r>
      <w:r>
        <w:rPr>
          <w:rFonts w:hint="default" w:ascii="宋体" w:hAnsi="宋体" w:eastAsia="宋体" w:cs="宋体"/>
          <w:sz w:val="24"/>
          <w:szCs w:val="24"/>
          <w:highlight w:val="none"/>
          <w:lang w:val="en-US" w:eastAsia="zh-CN"/>
        </w:rPr>
        <w:t>健全制度体系，筑牢教风学风建设根基</w:t>
      </w:r>
    </w:p>
    <w:p w14:paraId="45B780B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default" w:ascii="宋体" w:hAnsi="宋体" w:eastAsia="宋体" w:cs="宋体"/>
          <w:sz w:val="24"/>
          <w:szCs w:val="24"/>
          <w:highlight w:val="none"/>
          <w:lang w:val="en-US" w:eastAsia="zh-CN"/>
        </w:rPr>
      </w:pPr>
      <w:r>
        <w:rPr>
          <w:rFonts w:hint="default" w:ascii="宋体" w:hAnsi="宋体" w:eastAsia="宋体" w:cs="宋体"/>
          <w:sz w:val="24"/>
          <w:szCs w:val="24"/>
          <w:highlight w:val="none"/>
          <w:lang w:val="en-US" w:eastAsia="zh-CN"/>
        </w:rPr>
        <w:t>为确保全校教学工作规范有序</w:t>
      </w:r>
      <w:r>
        <w:rPr>
          <w:rFonts w:hint="eastAsia" w:ascii="宋体" w:hAnsi="宋体" w:eastAsia="宋体" w:cs="宋体"/>
          <w:sz w:val="24"/>
          <w:szCs w:val="24"/>
          <w:highlight w:val="none"/>
          <w:lang w:val="en-US" w:eastAsia="zh-CN"/>
        </w:rPr>
        <w:t>开展</w:t>
      </w:r>
      <w:r>
        <w:rPr>
          <w:rFonts w:hint="default" w:ascii="宋体" w:hAnsi="宋体" w:eastAsia="宋体" w:cs="宋体"/>
          <w:sz w:val="24"/>
          <w:szCs w:val="24"/>
          <w:highlight w:val="none"/>
          <w:lang w:val="en-US" w:eastAsia="zh-CN"/>
        </w:rPr>
        <w:t>，进一步明确教学行为准则、切实</w:t>
      </w:r>
      <w:r>
        <w:rPr>
          <w:rFonts w:hint="eastAsia" w:ascii="宋体" w:hAnsi="宋体" w:eastAsia="宋体" w:cs="宋体"/>
          <w:sz w:val="24"/>
          <w:szCs w:val="24"/>
          <w:highlight w:val="none"/>
          <w:lang w:val="en-US" w:eastAsia="zh-CN"/>
        </w:rPr>
        <w:t>维护</w:t>
      </w:r>
      <w:r>
        <w:rPr>
          <w:rFonts w:hint="default" w:ascii="宋体" w:hAnsi="宋体" w:eastAsia="宋体" w:cs="宋体"/>
          <w:sz w:val="24"/>
          <w:szCs w:val="24"/>
          <w:highlight w:val="none"/>
          <w:lang w:val="en-US" w:eastAsia="zh-CN"/>
        </w:rPr>
        <w:t>学生权益，2024-2025学年，教务处</w:t>
      </w:r>
      <w:r>
        <w:rPr>
          <w:rFonts w:hint="eastAsia" w:ascii="宋体" w:hAnsi="宋体" w:eastAsia="宋体" w:cs="宋体"/>
          <w:sz w:val="24"/>
          <w:szCs w:val="24"/>
          <w:highlight w:val="none"/>
          <w:lang w:val="en-US" w:eastAsia="zh-CN"/>
        </w:rPr>
        <w:t>、学生处和其他职能部门</w:t>
      </w:r>
      <w:r>
        <w:rPr>
          <w:rFonts w:hint="default" w:ascii="宋体" w:hAnsi="宋体" w:eastAsia="宋体" w:cs="宋体"/>
          <w:sz w:val="24"/>
          <w:szCs w:val="24"/>
          <w:highlight w:val="none"/>
          <w:lang w:val="en-US" w:eastAsia="zh-CN"/>
        </w:rPr>
        <w:t>在延续过往成熟工作机制的基础上，系统完善并补充了一系列</w:t>
      </w:r>
      <w:r>
        <w:rPr>
          <w:rFonts w:hint="eastAsia" w:ascii="宋体" w:hAnsi="宋体" w:eastAsia="宋体" w:cs="宋体"/>
          <w:sz w:val="24"/>
          <w:szCs w:val="24"/>
          <w:highlight w:val="none"/>
          <w:lang w:val="en-US" w:eastAsia="zh-CN"/>
        </w:rPr>
        <w:t>制度文件</w:t>
      </w:r>
      <w:r>
        <w:rPr>
          <w:rFonts w:hint="default" w:ascii="宋体" w:hAnsi="宋体" w:eastAsia="宋体" w:cs="宋体"/>
          <w:sz w:val="24"/>
          <w:szCs w:val="24"/>
          <w:highlight w:val="none"/>
          <w:lang w:val="en-US" w:eastAsia="zh-CN"/>
        </w:rPr>
        <w:t>。其中核心制度文件包括：关于印发《上海电子信息职业技术学院排课及调、停课管理规定》的通知</w:t>
      </w:r>
      <w:r>
        <w:rPr>
          <w:rFonts w:hint="eastAsia" w:ascii="宋体" w:hAnsi="宋体" w:eastAsia="宋体" w:cs="宋体"/>
          <w:sz w:val="24"/>
          <w:szCs w:val="24"/>
          <w:highlight w:val="none"/>
          <w:lang w:val="en-US" w:eastAsia="zh-CN"/>
        </w:rPr>
        <w:t>；关于印发《上海电子信息职业技术学院专业（群）建设委员会章程》的通知；关于印发《上海电子信息职业技术学院教学质量评价实施办法》的通知；关于印发《上海电子信息职业技术学院教学督导员聘任与管理办法》的通知；关于印发《上海电子信息职业技术学院教学事故认定及处理办法》的通知；关于印发《上海电子信息职业技术学院五年一贯制（前三年）学生国家奖学金评审实施细则》的通知；关于印发《上海电子信息职业技术学院五年一贯制（前三年）校内助学金评审实施办法》的通知；关于印发《上海电子信息职业技术学院五年一贯制（前三年）学生免费教育和国家助学金评审实施办法》的通知；关于印发《上海电子信息职业技术学院五年一贯制（前三年）学生校内奖学金评定办法》的通知；关于印发《上海电子信息职业技术学院五年一贯制（前三年）学生上海市奖学金评审实施细则》的通知；关于印发《上海电子信息职业技术学院优秀毕业生评选办法》的通知；关于印发《上海电子信息职业技术学院高等学历继续教育管理实施办法》的通知。</w:t>
      </w:r>
      <w:r>
        <w:rPr>
          <w:rFonts w:hint="default" w:ascii="宋体" w:hAnsi="宋体" w:eastAsia="宋体" w:cs="宋体"/>
          <w:sz w:val="24"/>
          <w:szCs w:val="24"/>
          <w:highlight w:val="none"/>
          <w:lang w:val="en-US" w:eastAsia="zh-CN"/>
        </w:rPr>
        <w:t>这些</w:t>
      </w:r>
      <w:r>
        <w:rPr>
          <w:rFonts w:hint="eastAsia" w:ascii="宋体" w:hAnsi="宋体" w:eastAsia="宋体" w:cs="宋体"/>
          <w:sz w:val="24"/>
          <w:szCs w:val="24"/>
          <w:highlight w:val="none"/>
          <w:lang w:val="en-US" w:eastAsia="zh-CN"/>
        </w:rPr>
        <w:t>制度</w:t>
      </w:r>
      <w:r>
        <w:rPr>
          <w:rFonts w:hint="default" w:ascii="宋体" w:hAnsi="宋体" w:eastAsia="宋体" w:cs="宋体"/>
          <w:sz w:val="24"/>
          <w:szCs w:val="24"/>
          <w:highlight w:val="none"/>
          <w:lang w:val="en-US" w:eastAsia="zh-CN"/>
        </w:rPr>
        <w:t>文件内容详实严谨、兼具科学性与可操作性，为学校优良教风和学风的巩固奠定了坚实的制度基石。</w:t>
      </w:r>
    </w:p>
    <w:p w14:paraId="0B0DA6A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2.搭建活动平台</w:t>
      </w:r>
      <w:r>
        <w:rPr>
          <w:rFonts w:hint="default" w:ascii="宋体" w:hAnsi="宋体" w:eastAsia="宋体" w:cs="宋体"/>
          <w:sz w:val="24"/>
          <w:szCs w:val="24"/>
          <w:highlight w:val="none"/>
          <w:lang w:val="en-US" w:eastAsia="zh-CN"/>
        </w:rPr>
        <w:t>，树立教风先进标杆</w:t>
      </w:r>
    </w:p>
    <w:p w14:paraId="0E0FE77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学校始终牢牢把握立德树人根本任务，以学生为中心创设良好的教育环境。2025年学校开展了丰富的教学比赛、培训和评优等活动，充分调动教师教学的主动性和积极性，促进教师优化教学过程，改进教学方法手段，积极发挥优秀教师的示范引领作用，从而提高学校教学质量，营造良好教风。</w:t>
      </w:r>
    </w:p>
    <w:p w14:paraId="16D8249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教务处开展了2025年度公共基础课和专业课课程开发“揭榜挂帅”工作，共有23个项目成功立项；开展十四五规划教材和校级优秀教材遴选工作，共有1门教材立项市级十四五规划教材；开展2025年在线课程和教材建设工作，分别有35个和30个项目成功立项；开展了精品在线课程申报工作，其中3门课程获批2024年市级精品在线开放课程，1门课程获批2023年国家级精品在线开放课程；精心组织老师参加上海市职业院校技能大赛教学能力比赛，共有9个团队获奖，其中一等奖1个，二等奖5个，三等奖3个</w:t>
      </w:r>
    </w:p>
    <w:p w14:paraId="15E8AF2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学校持续深化课程思政建设，各二级学院课程思政中心紧密依托专业特色，着力推动思想政治教育与学科教学的有机融合。工科领域注重弘扬工匠精神、培育创新担当，人文领域强调厚植文化自信、强化价值引领，通过精准挖掘与提炼各专业蕴含的思政元素，实现思政教育与专业教学的同频共振，有效提升了育人实效。年内，学校积极组织教师参与课程思政相关项目申报，成功申报课程思政示范团队1个，课程思政教学名师1位。同时，通过开展系列培训、教学展示及经验交流活动，全面提升教师的课程思政建设能力与教学水平，为构建全员、全过程、全方位育人格局奠定了坚实基础。</w:t>
      </w:r>
    </w:p>
    <w:p w14:paraId="530263D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3.强化能力培训，提升教师教学核心素养</w:t>
      </w:r>
    </w:p>
    <w:p w14:paraId="5DD36E1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2025 年，教务处持续深化由自身牵头、各教学单位协同联动的教师教学能力培训工作机制，进一步夯实具有本校特色的全覆盖培训体系与全员参与制度。通过系统开展专题培训、公开课等多元活动，助力全体教师精准把握职业教育发展新趋势，深度领会国家最新教育政策精神，持续更新现代教育理念、吸纳前沿教育思想，熟练运用科学高效的教育教学方法与信息化教学手段。</w:t>
      </w:r>
    </w:p>
    <w:p w14:paraId="656BC16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经过各教学单位推荐和教务处组织遴选，</w:t>
      </w:r>
      <w:r>
        <w:rPr>
          <w:rFonts w:hint="default" w:ascii="宋体" w:hAnsi="宋体" w:eastAsia="宋体" w:cs="宋体"/>
          <w:sz w:val="24"/>
          <w:szCs w:val="24"/>
          <w:highlight w:val="none"/>
          <w:lang w:val="en-US" w:eastAsia="zh-CN"/>
        </w:rPr>
        <w:t>智慧课程、创新实践、引领示范和课程思政四</w:t>
      </w:r>
      <w:r>
        <w:rPr>
          <w:rFonts w:hint="eastAsia" w:ascii="宋体" w:hAnsi="宋体" w:eastAsia="宋体" w:cs="宋体"/>
          <w:sz w:val="24"/>
          <w:szCs w:val="24"/>
          <w:highlight w:val="none"/>
          <w:lang w:val="en-US" w:eastAsia="zh-CN"/>
        </w:rPr>
        <w:t>个</w:t>
      </w:r>
      <w:r>
        <w:rPr>
          <w:rFonts w:hint="default" w:ascii="宋体" w:hAnsi="宋体" w:eastAsia="宋体" w:cs="宋体"/>
          <w:sz w:val="24"/>
          <w:szCs w:val="24"/>
          <w:highlight w:val="none"/>
          <w:lang w:val="en-US" w:eastAsia="zh-CN"/>
        </w:rPr>
        <w:t>类别</w:t>
      </w:r>
      <w:r>
        <w:rPr>
          <w:rFonts w:hint="eastAsia" w:ascii="宋体" w:hAnsi="宋体" w:eastAsia="宋体" w:cs="宋体"/>
          <w:sz w:val="24"/>
          <w:szCs w:val="24"/>
          <w:highlight w:val="none"/>
          <w:lang w:val="en-US" w:eastAsia="zh-CN"/>
        </w:rPr>
        <w:t>的公开示范课脱颖而出。通信与信息工程学院开展了人工智能训练师专项培训、“人工智能数据分析技术基础应用”培训；机械与能源工程学院开展了职业教育装备制造类课程思政讲座；中德工程学院开展了“AI+专业在课程实施中的探索与实践”工作坊、“德国职业教育教学法和教学方法”教师沙龙；经济与管理学院开展了“数智赋能·管理革新：教职工数字素养提升计划”讲座、和“课程思政示范项目与课程思政资源库建设探索”讲座；设计与艺术学院开展了青教赛启动培训、Unity实操培训、“元宇宙数字设计和场景应用”讲座和元宇宙技术与应用课程进阶培训；申安网络安全产业学院开展了“AI+项目式教学+项目式评价”培训、“AI+X高校行（Agent主题）”活动；外语学院开展了“AI融合背景下教学能力竞赛策略分析”讲座和“以学为锚——破解高职英语教学困局”讲座。</w:t>
      </w:r>
    </w:p>
    <w:p w14:paraId="3C3B9DD0">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严格教学督导，保障教学质量稳步提升</w:t>
      </w:r>
    </w:p>
    <w:p w14:paraId="516DBC0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2025 年，学校持续夯实教学督导工作的规范化基础，通过修订完善《教学质量评价实施办法》《教学督导员聘任与管理办法》《教学事故认定及处理办法》，为教学督导工作的规范化、科学化开展提供了坚实的制度保障。在教学质量评价方面，学校着重增加学生评教权重，构建起多维度评价体系，实现对教师教学质量的全面、客观评价。这一举措不仅有效提升了学生参与教学管理的积极性，更为教师改进教学方法、提升教学质量提供了有力依据，同时以明确的评价导向和制度约束倒逼教风严谨规范，引导学生主动参与教学反馈、端正学习态度，切实助力优良教风和学风的深度培育与巩固。</w:t>
      </w:r>
    </w:p>
    <w:p w14:paraId="3FB3544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在具体教学督导工作中，</w:t>
      </w:r>
      <w:r>
        <w:rPr>
          <w:rFonts w:hint="default" w:ascii="宋体" w:hAnsi="宋体" w:eastAsia="宋体" w:cs="宋体"/>
          <w:sz w:val="24"/>
          <w:szCs w:val="24"/>
          <w:highlight w:val="none"/>
          <w:lang w:val="en-US" w:eastAsia="zh-CN"/>
        </w:rPr>
        <w:t>学校持续优化督导工作模式，</w:t>
      </w:r>
      <w:r>
        <w:rPr>
          <w:rFonts w:hint="eastAsia" w:ascii="宋体" w:hAnsi="宋体" w:eastAsia="宋体" w:cs="宋体"/>
          <w:sz w:val="24"/>
          <w:szCs w:val="24"/>
          <w:highlight w:val="none"/>
          <w:lang w:val="en-US" w:eastAsia="zh-CN"/>
        </w:rPr>
        <w:t>将常规督导与重点督导紧密结合，听课巡课协同推进，校内校外督导有机联动。</w:t>
      </w:r>
      <w:r>
        <w:rPr>
          <w:rFonts w:hint="default" w:ascii="宋体" w:hAnsi="宋体" w:eastAsia="宋体" w:cs="宋体"/>
          <w:sz w:val="24"/>
          <w:szCs w:val="24"/>
          <w:highlight w:val="none"/>
          <w:lang w:val="en-US" w:eastAsia="zh-CN"/>
        </w:rPr>
        <w:t>常规督导工作涵盖督导室日常巡课、</w:t>
      </w:r>
      <w:r>
        <w:rPr>
          <w:rFonts w:hint="eastAsia" w:ascii="宋体" w:hAnsi="宋体" w:eastAsia="宋体" w:cs="宋体"/>
          <w:sz w:val="24"/>
          <w:szCs w:val="24"/>
          <w:highlight w:val="none"/>
          <w:lang w:val="en-US" w:eastAsia="zh-CN"/>
        </w:rPr>
        <w:t>学校督导组</w:t>
      </w:r>
      <w:r>
        <w:rPr>
          <w:rFonts w:hint="default" w:ascii="宋体" w:hAnsi="宋体" w:eastAsia="宋体" w:cs="宋体"/>
          <w:sz w:val="24"/>
          <w:szCs w:val="24"/>
          <w:highlight w:val="none"/>
          <w:lang w:val="en-US" w:eastAsia="zh-CN"/>
        </w:rPr>
        <w:t>听评课、教学单位日常巡课以及教学单位督导听评课等多个环节。针对教学效果不理想的教师和班级，</w:t>
      </w:r>
      <w:r>
        <w:rPr>
          <w:rFonts w:hint="eastAsia" w:ascii="宋体" w:hAnsi="宋体" w:eastAsia="宋体" w:cs="宋体"/>
          <w:sz w:val="24"/>
          <w:szCs w:val="24"/>
          <w:highlight w:val="none"/>
          <w:lang w:val="en-US" w:eastAsia="zh-CN"/>
        </w:rPr>
        <w:t>学校督导组</w:t>
      </w:r>
      <w:r>
        <w:rPr>
          <w:rFonts w:hint="default" w:ascii="宋体" w:hAnsi="宋体" w:eastAsia="宋体" w:cs="宋体"/>
          <w:sz w:val="24"/>
          <w:szCs w:val="24"/>
          <w:highlight w:val="none"/>
          <w:lang w:val="en-US" w:eastAsia="zh-CN"/>
        </w:rPr>
        <w:t>会增加听课次数，实施重点督导，助力教师提升教学水平，改善班级学习氛围。对于新开设的课程和新聘任的兼职兼课教师，学校与教学单位同步开展听、评、审工作，严格把关新开课程的授课质量，确保新教师能够快速适应教学岗位，为学生提供优质的教学服务。</w:t>
      </w:r>
      <w:r>
        <w:rPr>
          <w:rFonts w:hint="eastAsia" w:ascii="宋体" w:hAnsi="宋体" w:eastAsia="宋体" w:cs="宋体"/>
          <w:sz w:val="24"/>
          <w:szCs w:val="24"/>
          <w:highlight w:val="none"/>
          <w:lang w:val="en-US" w:eastAsia="zh-CN"/>
        </w:rPr>
        <w:t>同时，教务处对教学计划的实施及执行情况进行全程跟踪，确保各项工作落到实处。每学期，各教学单位针对教学运行和教学管理情况开展自查工作，教务处深入教学现场，对教学文件情况、课程开设情况、课程作业和试卷情况等进行抽查，及时发现教学过程中存在的问题，并提出</w:t>
      </w:r>
      <w:r>
        <w:rPr>
          <w:rFonts w:hint="default" w:ascii="宋体" w:hAnsi="宋体" w:eastAsia="宋体" w:cs="宋体"/>
          <w:sz w:val="24"/>
          <w:szCs w:val="24"/>
          <w:highlight w:val="none"/>
          <w:lang w:val="en-US" w:eastAsia="zh-CN"/>
        </w:rPr>
        <w:t>针对性的改进建议</w:t>
      </w:r>
      <w:r>
        <w:rPr>
          <w:rFonts w:hint="eastAsia" w:ascii="宋体" w:hAnsi="宋体" w:eastAsia="宋体" w:cs="宋体"/>
          <w:sz w:val="24"/>
          <w:szCs w:val="24"/>
          <w:highlight w:val="none"/>
          <w:lang w:val="en-US" w:eastAsia="zh-CN"/>
        </w:rPr>
        <w:t>，</w:t>
      </w:r>
      <w:r>
        <w:rPr>
          <w:rFonts w:hint="default" w:ascii="宋体" w:hAnsi="宋体" w:eastAsia="宋体" w:cs="宋体"/>
          <w:sz w:val="24"/>
          <w:szCs w:val="24"/>
          <w:highlight w:val="none"/>
          <w:lang w:val="en-US" w:eastAsia="zh-CN"/>
        </w:rPr>
        <w:t>为教学质量的持续提升保驾护航。</w:t>
      </w:r>
    </w:p>
    <w:p w14:paraId="0699790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default" w:ascii="宋体" w:hAnsi="宋体" w:eastAsia="宋体" w:cs="宋体"/>
          <w:sz w:val="24"/>
          <w:szCs w:val="24"/>
          <w:highlight w:val="none"/>
          <w:lang w:val="en-US" w:eastAsia="zh-CN"/>
        </w:rPr>
        <w:t>此外</w:t>
      </w:r>
      <w:r>
        <w:rPr>
          <w:rFonts w:hint="eastAsia" w:ascii="宋体" w:hAnsi="宋体" w:eastAsia="宋体" w:cs="宋体"/>
          <w:sz w:val="24"/>
          <w:szCs w:val="24"/>
          <w:highlight w:val="none"/>
          <w:lang w:val="en-US" w:eastAsia="zh-CN"/>
        </w:rPr>
        <w:t>，教务处积极组织学生参与学生座谈会、学生教学信息员工作，充分发挥学生参与教学管理和自我管理的主体作用。2025 年，学生信息员积极履行职责，围绕学校的教师队伍、教学条件、教学计划、教学内容、教学方法等方面提</w:t>
      </w:r>
      <w:r>
        <w:rPr>
          <w:rFonts w:hint="eastAsia" w:ascii="宋体" w:hAnsi="宋体" w:eastAsia="宋体" w:cs="宋体"/>
          <w:color w:val="auto"/>
          <w:sz w:val="24"/>
          <w:szCs w:val="24"/>
          <w:highlight w:val="none"/>
          <w:lang w:val="en-US" w:eastAsia="zh-CN"/>
        </w:rPr>
        <w:t>出宝贵意见和建议，同时如实反映本班同学的听课、实验实训、作业和考试等学习状况。教务处通过学生信息员及时了解教师和学生教与学的情况，认真汇总学生意见和建议，并反馈给各教学单位，督促其进行改进，有效促进了学校教风和学风的提升，营造了良好的教学氛围。</w:t>
      </w:r>
    </w:p>
    <w:p w14:paraId="17F454E7">
      <w:pPr>
        <w:keepNext w:val="0"/>
        <w:keepLines w:val="0"/>
        <w:pageBreakBefore w:val="0"/>
        <w:numPr>
          <w:ilvl w:val="0"/>
          <w:numId w:val="2"/>
        </w:numPr>
        <w:kinsoku/>
        <w:wordWrap/>
        <w:overflowPunct/>
        <w:topLinePunct w:val="0"/>
        <w:autoSpaceDE/>
        <w:autoSpaceDN/>
        <w:bidi w:val="0"/>
        <w:spacing w:line="360" w:lineRule="auto"/>
        <w:ind w:firstLine="482" w:firstLineChars="200"/>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净化学术环境，规范学术行为，营造求真务实的</w:t>
      </w:r>
      <w:r>
        <w:rPr>
          <w:rFonts w:hint="eastAsia" w:ascii="宋体" w:hAnsi="宋体" w:eastAsia="宋体" w:cs="宋体"/>
          <w:b/>
          <w:bCs/>
          <w:color w:val="auto"/>
          <w:sz w:val="24"/>
          <w:szCs w:val="24"/>
          <w:highlight w:val="none"/>
          <w:lang w:val="en-US" w:eastAsia="zh-CN"/>
        </w:rPr>
        <w:t>学术</w:t>
      </w:r>
      <w:r>
        <w:rPr>
          <w:rFonts w:hint="eastAsia" w:ascii="宋体" w:hAnsi="宋体" w:eastAsia="宋体" w:cs="宋体"/>
          <w:b/>
          <w:bCs/>
          <w:color w:val="auto"/>
          <w:sz w:val="24"/>
          <w:szCs w:val="24"/>
          <w:lang w:val="en-US" w:eastAsia="zh-CN"/>
        </w:rPr>
        <w:t>氛围</w:t>
      </w:r>
    </w:p>
    <w:p w14:paraId="5ABE3F0A">
      <w:pPr>
        <w:keepNext w:val="0"/>
        <w:keepLines w:val="0"/>
        <w:pageBreakBefore w:val="0"/>
        <w:numPr>
          <w:ilvl w:val="0"/>
          <w:numId w:val="3"/>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完善</w:t>
      </w:r>
      <w:r>
        <w:rPr>
          <w:rFonts w:hint="eastAsia" w:ascii="宋体" w:hAnsi="宋体" w:eastAsia="宋体" w:cs="宋体"/>
          <w:color w:val="auto"/>
          <w:sz w:val="24"/>
          <w:szCs w:val="24"/>
          <w:highlight w:val="none"/>
          <w:lang w:val="en-US" w:eastAsia="zh-CN"/>
        </w:rPr>
        <w:t>制度体系和工作机制，</w:t>
      </w:r>
      <w:r>
        <w:rPr>
          <w:rFonts w:hint="eastAsia" w:ascii="宋体" w:hAnsi="宋体" w:eastAsia="宋体" w:cs="宋体"/>
          <w:color w:val="auto"/>
          <w:sz w:val="24"/>
          <w:szCs w:val="24"/>
          <w:lang w:val="en-US" w:eastAsia="zh-CN"/>
        </w:rPr>
        <w:t>有效规范学术行为</w:t>
      </w:r>
    </w:p>
    <w:p w14:paraId="4BE0446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学校始终坚持“公开、公平、公正”原则，将学风建设作为科研过程管理中一项极为重要的内容。本年度在制定学校《知识产权管理办法》《科技成果转移转化管理办法》和修订学校《学术委员会章程》《教师学术道德规范》《科研工作量认定标准》《横向科研项目及经费管理办法》等规章</w:t>
      </w:r>
      <w:r>
        <w:rPr>
          <w:rFonts w:hint="eastAsia" w:ascii="宋体" w:hAnsi="宋体" w:eastAsia="宋体" w:cs="宋体"/>
          <w:color w:val="auto"/>
          <w:sz w:val="24"/>
          <w:szCs w:val="24"/>
          <w:highlight w:val="none"/>
          <w:lang w:val="en-US" w:eastAsia="zh-CN"/>
        </w:rPr>
        <w:t>制度</w:t>
      </w:r>
      <w:r>
        <w:rPr>
          <w:rFonts w:hint="eastAsia" w:ascii="宋体" w:hAnsi="宋体" w:eastAsia="宋体" w:cs="宋体"/>
          <w:color w:val="auto"/>
          <w:sz w:val="24"/>
          <w:szCs w:val="24"/>
          <w:lang w:val="en-US" w:eastAsia="zh-CN"/>
        </w:rPr>
        <w:t>、制订《科研工作负面清单》、优化学校横向科研合同和采购审批流程、修订学校科研经费报销指南。这些均融入了严格遵循学术道德规范的要求，明确了追究学术不端行为的责任。制度及其工作体系的不断完善和严格实施保障了学术不端查处机制的有效运行。</w:t>
      </w:r>
    </w:p>
    <w:p w14:paraId="20D1F6EA">
      <w:pPr>
        <w:keepNext w:val="0"/>
        <w:keepLines w:val="0"/>
        <w:pageBreakBefore w:val="0"/>
        <w:numPr>
          <w:ilvl w:val="0"/>
          <w:numId w:val="3"/>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提高师生学</w:t>
      </w:r>
      <w:r>
        <w:rPr>
          <w:rFonts w:hint="eastAsia" w:ascii="宋体" w:hAnsi="宋体" w:eastAsia="宋体" w:cs="宋体"/>
          <w:color w:val="auto"/>
          <w:sz w:val="24"/>
          <w:szCs w:val="24"/>
          <w:highlight w:val="none"/>
          <w:lang w:val="en-US" w:eastAsia="zh-CN"/>
        </w:rPr>
        <w:t>术诚信意识</w:t>
      </w:r>
      <w:r>
        <w:rPr>
          <w:rFonts w:hint="eastAsia" w:ascii="宋体" w:hAnsi="宋体" w:eastAsia="宋体" w:cs="宋体"/>
          <w:color w:val="auto"/>
          <w:sz w:val="24"/>
          <w:szCs w:val="24"/>
          <w:lang w:val="en-US" w:eastAsia="zh-CN"/>
        </w:rPr>
        <w:t>，营造良好学术氛围</w:t>
      </w:r>
    </w:p>
    <w:p w14:paraId="20B32F2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为贯彻落实中共中央办公厅、国务院办公厅、中国科协、教育部和上海市科委、上海市教委等关于学风建设的文件精神，引导科研人员规范严谨、求真求实，学校从以下几方面入手：</w:t>
      </w:r>
    </w:p>
    <w:p w14:paraId="6877DCAF">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以身作则，学习不辍。科研处不定期组织学习上级文件精神和本年度刚发布的《教师学术道德规范》，开展诚信教育，同时多次组织学校科研制度的集中研讨会、学习会，要求全体工作人员熟悉各项科研管理制度和工作规范，查漏补缺，以不断加强科研管理人员自身的学术道德规范意识，培养对学术不端行为的敏锐度和正确研判能力，熟练掌握面对实际问题的处理能力。</w:t>
      </w:r>
    </w:p>
    <w:p w14:paraId="5B12E7C2">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专岗设置，专人负责。科研处有科研诚信专员（2人），参加上级部门举办的科研诚信专题培训，开展有关学术不端问题的清查；设置科研不端举报邮箱，专门受理关于校内师生学术不端问题的举报，经调查核实后，负责对涉事教师进行谈话和警示教育。同时，还负责国家自然科学基金依托单位的管理和运行，对基金项目的申报材料的真实性进行全方位逐条审核，对各级各类科研项目的负责人，自申报起便要求签署科研诚信承诺书。</w:t>
      </w:r>
    </w:p>
    <w:p w14:paraId="3F410168">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全面教育，逐一指导。线上线下多渠道组织开展培训、解读、宣传教育活动。本年度主要面向全校高层次人才开展调研，针对提出的科研审批程序、经费使用等方面的问题作出具体指导和规范化要求；在每月一次的科研工作例会、每月一次的科研预算编制和经费使用及报销指导、面向全校的科研诚信培训（含学术道德、科研财经纪律、科研经费使用负面案例警示3场）和“科学家精神进校园”讲座（2位院士各1场）、面向各二级学院的科研政策制度解读（特别增加了对来自我校本年度最新的负面典型案例的解读和警示教育）中，融入科研诚信的内容，引导师生遵守学术规范、坚守学术诚信、完善学术人格、维护学术尊严、摒弃学术不端行为，努力使人人成为优良学风的践行者和维护者。</w:t>
      </w:r>
    </w:p>
    <w:p w14:paraId="13972581">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拓宽渠道，加强宣传。借助学校和科研处网站、微信科研工作群以及学校微信公众号等信息平台，加强对学风建设相关政策、制度、规范、流程以及科学精神、科学道德、科学伦理、科学规范的宣传，开展全方位科研诚信和学术道德规范普及式教育。本年度，一方面继续结合学校年度科研大会的成功举办，在学校微信公众号发布了为学校科研事业进步、为区域产业发展作出重要贡献的优秀科研创新与服务团队、个人的系列宣传；另一方面在科研处网站增加了每月一次的“学术不端与科研失信典型案例”发布环节，通过立标杆、树典型、划底线，在建立良好学风方面发挥了积极的正向引导和负面警示作用。</w:t>
      </w:r>
    </w:p>
    <w:p w14:paraId="021550B6">
      <w:pPr>
        <w:keepNext w:val="0"/>
        <w:keepLines w:val="0"/>
        <w:pageBreakBefore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（5）加强监督，提醒警示。本年度，学校根据科研诚信建设责任落实情况和七大工作要求，对32个要点内容逐一进行落实排查，全部落实。主动抽取了2025年度94项高层次人才科研启动经费资助项目、4项人</w:t>
      </w:r>
      <w:bookmarkStart w:id="0" w:name="_GoBack"/>
      <w:bookmarkEnd w:id="0"/>
      <w:r>
        <w:rPr>
          <w:rFonts w:hint="eastAsia" w:ascii="宋体" w:hAnsi="宋体" w:eastAsia="宋体" w:cs="宋体"/>
          <w:color w:val="auto"/>
          <w:sz w:val="24"/>
          <w:szCs w:val="24"/>
          <w:lang w:val="en-US" w:eastAsia="zh-CN"/>
        </w:rPr>
        <w:t>工智能促进科研范式改革赋能学科跃升计划项目、25项横向项目、14项校级科研项目、12项纵向科研项目开展审计工作。</w:t>
      </w:r>
      <w:r>
        <w:rPr>
          <w:rFonts w:hint="eastAsia" w:ascii="宋体" w:hAnsi="宋体" w:eastAsia="宋体" w:cs="宋体"/>
          <w:color w:val="auto"/>
          <w:sz w:val="24"/>
          <w:szCs w:val="24"/>
          <w:highlight w:val="none"/>
          <w:lang w:val="en-US" w:eastAsia="zh-CN"/>
        </w:rPr>
        <w:t>严守政治思想底线，开展学术评价</w:t>
      </w:r>
      <w:r>
        <w:rPr>
          <w:rFonts w:hint="eastAsia" w:ascii="宋体" w:hAnsi="宋体" w:eastAsia="宋体" w:cs="宋体"/>
          <w:color w:val="auto"/>
          <w:sz w:val="24"/>
          <w:szCs w:val="24"/>
          <w:lang w:val="en-US" w:eastAsia="zh-CN"/>
        </w:rPr>
        <w:t>科学严谨</w:t>
      </w:r>
    </w:p>
    <w:p w14:paraId="73F1A0E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3.学校在日常管理工作中积极对学校教职工的学术行为进行规范和引导，实施全方位教育和规范化监督管理机制，同时，在科研工作各环节精确研判意识形态基本问题和各类学术不端行为。</w:t>
      </w:r>
    </w:p>
    <w:p w14:paraId="6819A929">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在科研处网站持续更新、发布高质量学术期刊清单目录（含四大类国内核心期刊目录、高职高专成高院校学报目录、其它学校认为具有较高价值的学术期刊目录等），完善信息来源，加强正面引导。</w:t>
      </w:r>
    </w:p>
    <w:p w14:paraId="05BC92EE">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为鼓励更多高质量课题立项和成果产出，本年度制修订了《科研工作量认定标准》《科研经费管理办法》《横向科研项目及经费管理办法》《知识产权管理办法》《科技成果转移转化管理办法》等，为教职工科研工作评价、绩效分配与激励、晋职晋级提供依据。</w:t>
      </w:r>
    </w:p>
    <w:p w14:paraId="048AE48F">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为引导教职工持续产出高质量科研成果，本年度，科研处邀请两院院士为我校举办的高端学术研讨会发表主旨演讲，主题即围绕“科学家精神与科研诚信”；邀请科学家、教育专家等重要专家学者辅导我校教师申报高层级科研项目多场。同时，持续增加校外同行专家参与学术技术评审并大幅增加工科类专家的比重，持续优化科研专家库，体现学校开展学术科研评价的公正性和权威性。</w:t>
      </w:r>
    </w:p>
    <w:p w14:paraId="1523D891">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实行重大哲社类研究成果、新闻报道、学术交流活动、校刊论文、知识产权等发布前或申请前的审查机制。对校刊稿件严格执行“三审三校”，对于校刊来稿和全部校级科研项目的结题报告均作查重校验，对重复率高于20%的及时退修直至全部合格，方予录用或结题。在日常工作过程中发现的各类不规范的问题也已被及时纠正。</w:t>
      </w:r>
    </w:p>
    <w:p w14:paraId="3A652A86">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把思想价值引领贯穿选题设计、科研立项、研究过程、成果评价及运用、人才选荐、科研考核的全过程。</w:t>
      </w:r>
    </w:p>
    <w:p w14:paraId="359CB7AE">
      <w:pPr>
        <w:keepNext w:val="0"/>
        <w:keepLines w:val="0"/>
        <w:pageBreakBefore w:val="0"/>
        <w:numPr>
          <w:ilvl w:val="0"/>
          <w:numId w:val="3"/>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存在的问题和下一步的工作思路</w:t>
      </w:r>
    </w:p>
    <w:p w14:paraId="71B84066">
      <w:pPr>
        <w:keepNext w:val="0"/>
        <w:keepLines w:val="0"/>
        <w:pageBreakBefore w:val="0"/>
        <w:numPr>
          <w:ilvl w:val="0"/>
          <w:numId w:val="6"/>
        </w:numPr>
        <w:kinsoku/>
        <w:wordWrap/>
        <w:overflowPunct/>
        <w:topLinePunct w:val="0"/>
        <w:autoSpaceDE/>
        <w:autoSpaceDN/>
        <w:bidi w:val="0"/>
        <w:spacing w:line="360" w:lineRule="auto"/>
        <w:ind w:left="480" w:leftChars="0" w:firstLine="0" w:firstLineChars="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进一步完善和协调制度体系，狠抓制度贯彻落实</w:t>
      </w:r>
    </w:p>
    <w:p w14:paraId="6A761F3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目前，学校已构建较为完备的科研管理和学术道德建设的制度体系，并正在探索实行群众监督举报机制，为学风建设长效机制的形成打下了良好的基础。要想这些规章制度真正落地生根，真正起到为我校学风建设保驾护航的作用，就必须长期、持久地狠抓贯彻落实不松懈，确保严格照章办事。</w:t>
      </w:r>
    </w:p>
    <w:p w14:paraId="6FA7CEB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同时，在科研考核、学术技术评定、科研经费支出审核工作中，要进一步加强对科研项目负责人、成果完成人的责任教育和科研诚信审查，要进一步加强学术委员会作为学校最高学术调查评判机构的职责落地，要将科研诚信黑名单及其惩处机制落实到位。</w:t>
      </w:r>
    </w:p>
    <w:p w14:paraId="066CF912">
      <w:pPr>
        <w:keepNext w:val="0"/>
        <w:keepLines w:val="0"/>
        <w:pageBreakBefore w:val="0"/>
        <w:numPr>
          <w:ilvl w:val="0"/>
          <w:numId w:val="6"/>
        </w:numPr>
        <w:kinsoku/>
        <w:wordWrap/>
        <w:overflowPunct/>
        <w:topLinePunct w:val="0"/>
        <w:autoSpaceDE/>
        <w:autoSpaceDN/>
        <w:bidi w:val="0"/>
        <w:spacing w:line="360" w:lineRule="auto"/>
        <w:ind w:left="480" w:leftChars="0" w:firstLine="0" w:firstLineChars="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全方位开展科学道德与规范教育宣传，进一步净化学术环境</w:t>
      </w:r>
    </w:p>
    <w:p w14:paraId="734A476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把为全校师生、新进教师开设学术道德与规范专题讲座列为每一年度的工作任务。通过深入解读中共中央办公厅、国务院办公厅《关于进一步加强科研诚信建设的若干意见》《关于进一步弘扬科学家精神加强作风和学风建设的若干意见》和《高等学校预防和处理学术不端行为办法》（中华人民共和国教育部令第40号）、《中国科协和教育部等七部委关于印发&lt;发表学术论文“五不准”&gt;的通知》等文件精神，鼓励教师把科学道德、科学精神宣传教育贯穿于人才培养和科学研究的全过程。</w:t>
      </w:r>
    </w:p>
    <w:p w14:paraId="53F69EE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把相关文件学习作为科研处党支部（学校机关党总支第七党支部）全体党员不定期必学内容，分享典型案例和学习体会，加强内部研讨和交流，请工作人员为学校更好地开展学风建设工作建言献策。</w:t>
      </w:r>
    </w:p>
    <w:p w14:paraId="6A89F8B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一切从质量出发，从严审核认定科研成果，在认为有必要或者有争议的情况下，可交由专家组作出判断和指导；在必要时，将专家评审结果予以公示。</w:t>
      </w:r>
    </w:p>
    <w:p w14:paraId="0CDEE4BF">
      <w:pPr>
        <w:keepNext w:val="0"/>
        <w:keepLines w:val="0"/>
        <w:pageBreakBefore w:val="0"/>
        <w:kinsoku/>
        <w:wordWrap/>
        <w:overflowPunct/>
        <w:topLinePunct w:val="0"/>
        <w:autoSpaceDE/>
        <w:autoSpaceDN/>
        <w:bidi w:val="0"/>
        <w:spacing w:line="312" w:lineRule="auto"/>
        <w:ind w:firstLine="480" w:firstLineChars="200"/>
        <w:textAlignment w:val="auto"/>
        <w:rPr>
          <w:rFonts w:hint="eastAsia" w:ascii="Times New Roman Regular" w:hAnsi="Times New Roman Regular" w:eastAsia="仿宋" w:cs="Times New Roman Regular"/>
          <w:sz w:val="24"/>
          <w:szCs w:val="24"/>
          <w:lang w:val="en-US" w:eastAsia="zh-CN"/>
        </w:rPr>
      </w:pPr>
      <w:r>
        <w:rPr>
          <w:rFonts w:ascii="Segoe UI" w:hAnsi="Segoe UI" w:eastAsia="Segoe UI" w:cs="Segoe UI"/>
          <w:i w:val="0"/>
          <w:iCs w:val="0"/>
          <w:caps w:val="0"/>
          <w:spacing w:val="0"/>
          <w:sz w:val="24"/>
          <w:szCs w:val="24"/>
          <w:shd w:val="clear" w:fill="FFFFFF"/>
        </w:rPr>
        <w:t>展望未来，学校将深入总结过往实践经验，大胆创新学风建设工作思路，始终把学风建设摆在教育改革与长远发展的核心位置。严格对标教育部相关要求，对学风建设规章制度与运行机制进行精细化打磨完善，进一步强化制度执行刚性，确保各项举措落地见效。同时，将社会主义核心价值观深度融入学风建设各环节、全过程，以优良学风涵养学生高尚精神品格、锤炼过硬综合素质。学校将持续发力、久久为功，推动学风建设再上新台阶，为教育事业高质量可持续发展注入源源不断的强劲动力。</w:t>
      </w:r>
    </w:p>
    <w:p w14:paraId="68574710">
      <w:pPr>
        <w:keepNext w:val="0"/>
        <w:keepLines w:val="0"/>
        <w:pageBreakBefore w:val="0"/>
        <w:kinsoku/>
        <w:wordWrap/>
        <w:overflowPunct/>
        <w:topLinePunct w:val="0"/>
        <w:autoSpaceDE/>
        <w:autoSpaceDN/>
        <w:bidi w:val="0"/>
        <w:spacing w:line="312" w:lineRule="auto"/>
        <w:ind w:firstLine="480" w:firstLineChars="200"/>
        <w:textAlignment w:val="auto"/>
        <w:rPr>
          <w:rFonts w:hint="eastAsia" w:ascii="Times New Roman Regular" w:hAnsi="Times New Roman Regular" w:eastAsia="仿宋" w:cs="Times New Roman Regular"/>
          <w:sz w:val="24"/>
          <w:szCs w:val="24"/>
          <w:lang w:val="en-US" w:eastAsia="zh-CN"/>
        </w:rPr>
      </w:pPr>
    </w:p>
    <w:p w14:paraId="04BAAE1B">
      <w:pPr>
        <w:keepNext w:val="0"/>
        <w:keepLines w:val="0"/>
        <w:pageBreakBefore w:val="0"/>
        <w:widowControl w:val="0"/>
        <w:numPr>
          <w:ilvl w:val="0"/>
          <w:numId w:val="0"/>
        </w:numPr>
        <w:kinsoku/>
        <w:wordWrap/>
        <w:overflowPunct/>
        <w:topLinePunct w:val="0"/>
        <w:autoSpaceDE/>
        <w:autoSpaceDN/>
        <w:bidi w:val="0"/>
        <w:adjustRightInd/>
        <w:snapToGrid/>
        <w:spacing w:line="312" w:lineRule="auto"/>
        <w:textAlignment w:val="auto"/>
        <w:rPr>
          <w:rFonts w:hint="default" w:ascii="Times New Roman Regular" w:hAnsi="Times New Roman Regular" w:eastAsia="仿宋" w:cs="Times New Roman Regular"/>
          <w:sz w:val="24"/>
          <w:szCs w:val="24"/>
          <w:lang w:val="en-US" w:eastAsia="zh-CN"/>
        </w:rPr>
      </w:pPr>
    </w:p>
    <w:p w14:paraId="352AD006">
      <w:pPr>
        <w:keepNext w:val="0"/>
        <w:keepLines w:val="0"/>
        <w:pageBreakBefore w:val="0"/>
        <w:numPr>
          <w:ilvl w:val="0"/>
          <w:numId w:val="0"/>
        </w:numPr>
        <w:kinsoku/>
        <w:wordWrap/>
        <w:overflowPunct/>
        <w:topLinePunct w:val="0"/>
        <w:autoSpaceDE/>
        <w:autoSpaceDN/>
        <w:bidi w:val="0"/>
        <w:spacing w:line="312" w:lineRule="auto"/>
        <w:ind w:left="480" w:leftChars="0"/>
        <w:textAlignment w:val="auto"/>
        <w:rPr>
          <w:rFonts w:hint="default" w:ascii="Times New Roman Regular" w:hAnsi="Times New Roman Regular" w:eastAsia="仿宋" w:cs="Times New Roman Regular"/>
          <w:sz w:val="24"/>
          <w:szCs w:val="24"/>
          <w:lang w:val="en-US" w:eastAsia="zh-CN"/>
        </w:rPr>
      </w:pPr>
    </w:p>
    <w:p w14:paraId="3F270AA8">
      <w:pPr>
        <w:keepNext w:val="0"/>
        <w:keepLines w:val="0"/>
        <w:pageBreakBefore w:val="0"/>
        <w:numPr>
          <w:ilvl w:val="0"/>
          <w:numId w:val="0"/>
        </w:numPr>
        <w:kinsoku/>
        <w:wordWrap/>
        <w:overflowPunct/>
        <w:topLinePunct w:val="0"/>
        <w:autoSpaceDE/>
        <w:autoSpaceDN/>
        <w:bidi w:val="0"/>
        <w:spacing w:line="312" w:lineRule="auto"/>
        <w:ind w:left="480" w:leftChars="0"/>
        <w:textAlignment w:val="auto"/>
        <w:rPr>
          <w:rFonts w:hint="default" w:ascii="Times New Roman Regular" w:hAnsi="Times New Roman Regular" w:eastAsia="仿宋" w:cs="Times New Roman Regular"/>
          <w:sz w:val="24"/>
          <w:szCs w:val="24"/>
          <w:lang w:val="en-US" w:eastAsia="zh-CN"/>
        </w:rPr>
      </w:pPr>
    </w:p>
    <w:p w14:paraId="47A2B5F0">
      <w:pPr>
        <w:keepNext w:val="0"/>
        <w:keepLines w:val="0"/>
        <w:pageBreakBefore w:val="0"/>
        <w:numPr>
          <w:ilvl w:val="0"/>
          <w:numId w:val="0"/>
        </w:numPr>
        <w:kinsoku/>
        <w:wordWrap/>
        <w:overflowPunct/>
        <w:topLinePunct w:val="0"/>
        <w:autoSpaceDE/>
        <w:autoSpaceDN/>
        <w:bidi w:val="0"/>
        <w:spacing w:line="312" w:lineRule="auto"/>
        <w:textAlignment w:val="auto"/>
        <w:rPr>
          <w:rFonts w:hint="eastAsia" w:ascii="Times New Roman Regular" w:hAnsi="Times New Roman Regular" w:eastAsia="仿宋" w:cs="Times New Roman Regular"/>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舒体">
    <w:panose1 w:val="02010601030101010101"/>
    <w:charset w:val="86"/>
    <w:family w:val="auto"/>
    <w:pitch w:val="default"/>
    <w:sig w:usb0="00000003"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Segoe UI">
    <w:panose1 w:val="020B0502040204020203"/>
    <w:charset w:val="00"/>
    <w:family w:val="auto"/>
    <w:pitch w:val="default"/>
    <w:sig w:usb0="E4002EFF" w:usb1="C000E47F" w:usb2="00000009" w:usb3="00000000" w:csb0="200001FF" w:csb1="00000000"/>
  </w:font>
  <w:font w:name="Times New Roman Regular">
    <w:altName w:val="Times New Roman"/>
    <w:panose1 w:val="02020703060505090304"/>
    <w:charset w:val="00"/>
    <w:family w:val="auto"/>
    <w:pitch w:val="default"/>
    <w:sig w:usb0="00000000" w:usb1="00000000" w:usb2="00000001" w:usb3="00000000" w:csb0="400001BF" w:csb1="DFF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615D5E"/>
    <w:multiLevelType w:val="singleLevel"/>
    <w:tmpl w:val="80615D5E"/>
    <w:lvl w:ilvl="0" w:tentative="0">
      <w:start w:val="1"/>
      <w:numFmt w:val="decimal"/>
      <w:suff w:val="space"/>
      <w:lvlText w:val="（%1）"/>
      <w:lvlJc w:val="left"/>
    </w:lvl>
  </w:abstractNum>
  <w:abstractNum w:abstractNumId="1">
    <w:nsid w:val="9F52FF2D"/>
    <w:multiLevelType w:val="singleLevel"/>
    <w:tmpl w:val="9F52FF2D"/>
    <w:lvl w:ilvl="0" w:tentative="0">
      <w:start w:val="1"/>
      <w:numFmt w:val="decimal"/>
      <w:lvlText w:val="%1."/>
      <w:lvlJc w:val="left"/>
      <w:pPr>
        <w:tabs>
          <w:tab w:val="left" w:pos="312"/>
        </w:tabs>
      </w:pPr>
    </w:lvl>
  </w:abstractNum>
  <w:abstractNum w:abstractNumId="2">
    <w:nsid w:val="A124EAB2"/>
    <w:multiLevelType w:val="singleLevel"/>
    <w:tmpl w:val="A124EAB2"/>
    <w:lvl w:ilvl="0" w:tentative="0">
      <w:start w:val="3"/>
      <w:numFmt w:val="chineseCounting"/>
      <w:suff w:val="nothing"/>
      <w:lvlText w:val="%1、"/>
      <w:lvlJc w:val="left"/>
      <w:rPr>
        <w:rFonts w:hint="eastAsia"/>
      </w:rPr>
    </w:lvl>
  </w:abstractNum>
  <w:abstractNum w:abstractNumId="3">
    <w:nsid w:val="A801C2FE"/>
    <w:multiLevelType w:val="singleLevel"/>
    <w:tmpl w:val="A801C2FE"/>
    <w:lvl w:ilvl="0" w:tentative="0">
      <w:start w:val="4"/>
      <w:numFmt w:val="decimal"/>
      <w:suff w:val="space"/>
      <w:lvlText w:val="%1."/>
      <w:lvlJc w:val="left"/>
    </w:lvl>
  </w:abstractNum>
  <w:abstractNum w:abstractNumId="4">
    <w:nsid w:val="B977C4C2"/>
    <w:multiLevelType w:val="singleLevel"/>
    <w:tmpl w:val="B977C4C2"/>
    <w:lvl w:ilvl="0" w:tentative="0">
      <w:start w:val="1"/>
      <w:numFmt w:val="decimal"/>
      <w:suff w:val="space"/>
      <w:lvlText w:val="（%1）"/>
      <w:lvlJc w:val="left"/>
      <w:pPr>
        <w:ind w:left="480" w:leftChars="0" w:firstLine="0" w:firstLineChars="0"/>
      </w:pPr>
    </w:lvl>
  </w:abstractNum>
  <w:abstractNum w:abstractNumId="5">
    <w:nsid w:val="6EDFD1CE"/>
    <w:multiLevelType w:val="singleLevel"/>
    <w:tmpl w:val="6EDFD1CE"/>
    <w:lvl w:ilvl="0" w:tentative="0">
      <w:start w:val="1"/>
      <w:numFmt w:val="decimal"/>
      <w:suff w:val="space"/>
      <w:lvlText w:val="（%1）"/>
      <w:lvlJc w:val="left"/>
    </w:lvl>
  </w:abstractNum>
  <w:num w:numId="1">
    <w:abstractNumId w:val="3"/>
  </w:num>
  <w:num w:numId="2">
    <w:abstractNumId w:val="2"/>
  </w:num>
  <w:num w:numId="3">
    <w:abstractNumId w:val="1"/>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NjMzUwZThiOTI3YWIxMDFhMDczY2YzZTY5M2E1NTAifQ=="/>
  </w:docVars>
  <w:rsids>
    <w:rsidRoot w:val="00000000"/>
    <w:rsid w:val="00270BE1"/>
    <w:rsid w:val="00BA7CA7"/>
    <w:rsid w:val="00D91EDB"/>
    <w:rsid w:val="02BF3353"/>
    <w:rsid w:val="030A6CC4"/>
    <w:rsid w:val="0381685A"/>
    <w:rsid w:val="03DD1CE2"/>
    <w:rsid w:val="04BC3FEE"/>
    <w:rsid w:val="05791EDF"/>
    <w:rsid w:val="05A772A4"/>
    <w:rsid w:val="07794418"/>
    <w:rsid w:val="07C84A57"/>
    <w:rsid w:val="09540C99"/>
    <w:rsid w:val="0A0A7ED1"/>
    <w:rsid w:val="0A982E07"/>
    <w:rsid w:val="0AA3355A"/>
    <w:rsid w:val="0AC65287"/>
    <w:rsid w:val="0CF4009D"/>
    <w:rsid w:val="0D186DB0"/>
    <w:rsid w:val="0D991370"/>
    <w:rsid w:val="0DF02F5A"/>
    <w:rsid w:val="1045758D"/>
    <w:rsid w:val="10A61FE0"/>
    <w:rsid w:val="10FB7C4C"/>
    <w:rsid w:val="113A6475"/>
    <w:rsid w:val="115E3019"/>
    <w:rsid w:val="11B20C52"/>
    <w:rsid w:val="11C47D41"/>
    <w:rsid w:val="11FF551A"/>
    <w:rsid w:val="13DB5B12"/>
    <w:rsid w:val="14BF5434"/>
    <w:rsid w:val="15175270"/>
    <w:rsid w:val="162639BD"/>
    <w:rsid w:val="16551BAC"/>
    <w:rsid w:val="16B8213B"/>
    <w:rsid w:val="16EF3DAF"/>
    <w:rsid w:val="17CC2342"/>
    <w:rsid w:val="17E01949"/>
    <w:rsid w:val="18D47700"/>
    <w:rsid w:val="193957B5"/>
    <w:rsid w:val="193C7053"/>
    <w:rsid w:val="19706578"/>
    <w:rsid w:val="1A141D7E"/>
    <w:rsid w:val="1A8E7D82"/>
    <w:rsid w:val="1AF37BE5"/>
    <w:rsid w:val="1B612DA1"/>
    <w:rsid w:val="1BB05AD7"/>
    <w:rsid w:val="1CD53A47"/>
    <w:rsid w:val="1D8D3444"/>
    <w:rsid w:val="1DC13FCB"/>
    <w:rsid w:val="1E206F43"/>
    <w:rsid w:val="1F9A0F77"/>
    <w:rsid w:val="1FF561AE"/>
    <w:rsid w:val="2117704B"/>
    <w:rsid w:val="21E32762"/>
    <w:rsid w:val="231F5A1C"/>
    <w:rsid w:val="236368CA"/>
    <w:rsid w:val="240510B5"/>
    <w:rsid w:val="2480073C"/>
    <w:rsid w:val="24BC729A"/>
    <w:rsid w:val="26971D6D"/>
    <w:rsid w:val="27223D2C"/>
    <w:rsid w:val="276C31F9"/>
    <w:rsid w:val="27A449B4"/>
    <w:rsid w:val="2A8820F8"/>
    <w:rsid w:val="2B3C1135"/>
    <w:rsid w:val="2C131E96"/>
    <w:rsid w:val="2C82701B"/>
    <w:rsid w:val="2CBD0053"/>
    <w:rsid w:val="2D281971"/>
    <w:rsid w:val="2D855015"/>
    <w:rsid w:val="2F146650"/>
    <w:rsid w:val="2F2F348A"/>
    <w:rsid w:val="314F4CD8"/>
    <w:rsid w:val="315F6DAB"/>
    <w:rsid w:val="33557238"/>
    <w:rsid w:val="343B642D"/>
    <w:rsid w:val="34930017"/>
    <w:rsid w:val="357D1550"/>
    <w:rsid w:val="35EF127D"/>
    <w:rsid w:val="3632560E"/>
    <w:rsid w:val="36D05799"/>
    <w:rsid w:val="379320DC"/>
    <w:rsid w:val="37F7266B"/>
    <w:rsid w:val="380B25BB"/>
    <w:rsid w:val="389820A0"/>
    <w:rsid w:val="3A157721"/>
    <w:rsid w:val="3ACF78CF"/>
    <w:rsid w:val="3C2B322B"/>
    <w:rsid w:val="3CC50F8A"/>
    <w:rsid w:val="3D1B6DFC"/>
    <w:rsid w:val="3D1D2B74"/>
    <w:rsid w:val="3E66679D"/>
    <w:rsid w:val="3EB05C6A"/>
    <w:rsid w:val="427D5E63"/>
    <w:rsid w:val="42890CAC"/>
    <w:rsid w:val="440E1469"/>
    <w:rsid w:val="443D58AA"/>
    <w:rsid w:val="44896D41"/>
    <w:rsid w:val="449A2CFC"/>
    <w:rsid w:val="45352A25"/>
    <w:rsid w:val="4546029F"/>
    <w:rsid w:val="45FF79D3"/>
    <w:rsid w:val="463827CD"/>
    <w:rsid w:val="46A936CA"/>
    <w:rsid w:val="46FF32EA"/>
    <w:rsid w:val="477E06B3"/>
    <w:rsid w:val="47D6229D"/>
    <w:rsid w:val="47DC187E"/>
    <w:rsid w:val="48CC544E"/>
    <w:rsid w:val="48E46C3C"/>
    <w:rsid w:val="48E96DD2"/>
    <w:rsid w:val="49061651"/>
    <w:rsid w:val="4907292A"/>
    <w:rsid w:val="49A168DB"/>
    <w:rsid w:val="4A0F1A96"/>
    <w:rsid w:val="4AC00FE3"/>
    <w:rsid w:val="4B87178F"/>
    <w:rsid w:val="4BAD1567"/>
    <w:rsid w:val="4BED5E07"/>
    <w:rsid w:val="4E41068C"/>
    <w:rsid w:val="4F8103DE"/>
    <w:rsid w:val="4F876573"/>
    <w:rsid w:val="4F9A0054"/>
    <w:rsid w:val="4FD73056"/>
    <w:rsid w:val="505C355C"/>
    <w:rsid w:val="51752B27"/>
    <w:rsid w:val="51A57EC9"/>
    <w:rsid w:val="51BA2C30"/>
    <w:rsid w:val="53360570"/>
    <w:rsid w:val="53E954AA"/>
    <w:rsid w:val="544D38E7"/>
    <w:rsid w:val="54705828"/>
    <w:rsid w:val="54EF499E"/>
    <w:rsid w:val="54F621D1"/>
    <w:rsid w:val="559C395D"/>
    <w:rsid w:val="55F304BE"/>
    <w:rsid w:val="56411BAE"/>
    <w:rsid w:val="56CB143B"/>
    <w:rsid w:val="57122BC6"/>
    <w:rsid w:val="5726041F"/>
    <w:rsid w:val="57435475"/>
    <w:rsid w:val="57DE3D7D"/>
    <w:rsid w:val="586E6522"/>
    <w:rsid w:val="59301A29"/>
    <w:rsid w:val="594F1EAF"/>
    <w:rsid w:val="595E6596"/>
    <w:rsid w:val="596671F9"/>
    <w:rsid w:val="597C07CB"/>
    <w:rsid w:val="5AC10B8B"/>
    <w:rsid w:val="5B1F3B03"/>
    <w:rsid w:val="5B5B0FE0"/>
    <w:rsid w:val="5B5E462C"/>
    <w:rsid w:val="5BD34886"/>
    <w:rsid w:val="5C5617A7"/>
    <w:rsid w:val="5C78171D"/>
    <w:rsid w:val="5CAF7DEC"/>
    <w:rsid w:val="5DA61F53"/>
    <w:rsid w:val="5E2D4789"/>
    <w:rsid w:val="5E5B4E53"/>
    <w:rsid w:val="5E820631"/>
    <w:rsid w:val="5FB962D5"/>
    <w:rsid w:val="60AC5A23"/>
    <w:rsid w:val="60BB607C"/>
    <w:rsid w:val="641066DF"/>
    <w:rsid w:val="6454481E"/>
    <w:rsid w:val="6457430E"/>
    <w:rsid w:val="649015CE"/>
    <w:rsid w:val="64AD03D2"/>
    <w:rsid w:val="64FD6C64"/>
    <w:rsid w:val="650F6997"/>
    <w:rsid w:val="659054B2"/>
    <w:rsid w:val="659550EE"/>
    <w:rsid w:val="6598698C"/>
    <w:rsid w:val="65EC0A86"/>
    <w:rsid w:val="65EE2B72"/>
    <w:rsid w:val="65F00576"/>
    <w:rsid w:val="66072189"/>
    <w:rsid w:val="664A412A"/>
    <w:rsid w:val="671E1113"/>
    <w:rsid w:val="677142C4"/>
    <w:rsid w:val="67987117"/>
    <w:rsid w:val="682664D1"/>
    <w:rsid w:val="690031C6"/>
    <w:rsid w:val="69BA3B7A"/>
    <w:rsid w:val="6AC326FD"/>
    <w:rsid w:val="6AEE3AA9"/>
    <w:rsid w:val="6C47110C"/>
    <w:rsid w:val="6C951E77"/>
    <w:rsid w:val="6CA83959"/>
    <w:rsid w:val="6CC9630F"/>
    <w:rsid w:val="6D1159A2"/>
    <w:rsid w:val="6E3D6323"/>
    <w:rsid w:val="6E481A15"/>
    <w:rsid w:val="6F10445A"/>
    <w:rsid w:val="6F1E6D68"/>
    <w:rsid w:val="6F235519"/>
    <w:rsid w:val="70884BDC"/>
    <w:rsid w:val="71867FE1"/>
    <w:rsid w:val="71A010A2"/>
    <w:rsid w:val="71A52B5D"/>
    <w:rsid w:val="71AC3EEB"/>
    <w:rsid w:val="71EA4A14"/>
    <w:rsid w:val="728124EA"/>
    <w:rsid w:val="73FF7964"/>
    <w:rsid w:val="74A25132"/>
    <w:rsid w:val="75385A96"/>
    <w:rsid w:val="753F5076"/>
    <w:rsid w:val="75932CCC"/>
    <w:rsid w:val="75BA294F"/>
    <w:rsid w:val="77370D3A"/>
    <w:rsid w:val="773D7394"/>
    <w:rsid w:val="775A6197"/>
    <w:rsid w:val="78911745"/>
    <w:rsid w:val="796B01E8"/>
    <w:rsid w:val="7ADE1C87"/>
    <w:rsid w:val="7AFD7566"/>
    <w:rsid w:val="7B65510B"/>
    <w:rsid w:val="7B7B048A"/>
    <w:rsid w:val="7B9C6D7F"/>
    <w:rsid w:val="7C0861C2"/>
    <w:rsid w:val="7CE25BEE"/>
    <w:rsid w:val="7E4D43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customStyle="1" w:styleId="4">
    <w:name w:val="List Paragraph"/>
    <w:basedOn w:val="1"/>
    <w:autoRedefine/>
    <w:qFormat/>
    <w:uiPriority w:val="34"/>
    <w:pPr>
      <w:ind w:firstLine="420"/>
    </w:pPr>
    <w:rPr>
      <w:rFonts w:ascii="Calibri" w:hAnsi="Calibri"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7509</Words>
  <Characters>7589</Characters>
  <Lines>0</Lines>
  <Paragraphs>0</Paragraphs>
  <TotalTime>189</TotalTime>
  <ScaleCrop>false</ScaleCrop>
  <LinksUpToDate>false</LinksUpToDate>
  <CharactersWithSpaces>7593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2023-10-23T02:28:00Z</dcterms:created>
  <dc:creator>86156</dc:creator>
  <cp:lastModifiedBy>西贝</cp:lastModifiedBy>
  <dcterms:modified xsi:type="dcterms:W3CDTF">2025-10-27T05:41:46Z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DB47C668740943B8BC67B7C06DB989DE_13</vt:lpwstr>
  </property>
  <property fmtid="{D5CDD505-2E9C-101B-9397-08002B2CF9AE}" pid="4" name="KSOTemplateDocerSaveRecord">
    <vt:lpwstr>eyJoZGlkIjoiMmNjMzUwZThiOTI3YWIxMDFhMDczY2YzZTY5M2E1NTAiLCJ1c2VySWQiOiI2MTU3NTY2MDQifQ==</vt:lpwstr>
  </property>
</Properties>
</file>