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87C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690" w:right="690"/>
        <w:jc w:val="center"/>
        <w:rPr>
          <w:b w:val="0"/>
          <w:bCs w:val="0"/>
          <w:color w:val="135194"/>
          <w:sz w:val="45"/>
          <w:szCs w:val="45"/>
        </w:rPr>
      </w:pPr>
      <w:bookmarkStart w:id="0" w:name="_GoBack"/>
      <w:r>
        <w:rPr>
          <w:b w:val="0"/>
          <w:bCs w:val="0"/>
          <w:i w:val="0"/>
          <w:iCs w:val="0"/>
          <w:caps w:val="0"/>
          <w:color w:val="135194"/>
          <w:spacing w:val="0"/>
          <w:sz w:val="45"/>
          <w:szCs w:val="45"/>
          <w:bdr w:val="none" w:color="auto" w:sz="0" w:space="0"/>
        </w:rPr>
        <w:t>2025年国家社科基金艺术学年度项目申报公告</w:t>
      </w:r>
      <w:bookmarkEnd w:id="0"/>
    </w:p>
    <w:p w14:paraId="200B18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690"/>
        <w:rPr>
          <w:rFonts w:hint="eastAsia" w:ascii="宋体" w:hAnsi="宋体" w:eastAsia="宋体" w:cs="宋体"/>
          <w:i w:val="0"/>
          <w:iCs w:val="0"/>
          <w:caps w:val="0"/>
          <w:color w:val="333333"/>
          <w:spacing w:val="0"/>
          <w:sz w:val="24"/>
          <w:szCs w:val="24"/>
          <w:bdr w:val="none" w:color="auto" w:sz="0" w:space="0"/>
        </w:rPr>
      </w:pPr>
    </w:p>
    <w:p w14:paraId="530B96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690"/>
      </w:pPr>
      <w:r>
        <w:rPr>
          <w:rFonts w:hint="eastAsia" w:ascii="宋体" w:hAnsi="宋体" w:eastAsia="宋体" w:cs="宋体"/>
          <w:i w:val="0"/>
          <w:iCs w:val="0"/>
          <w:caps w:val="0"/>
          <w:color w:val="333333"/>
          <w:spacing w:val="0"/>
          <w:sz w:val="24"/>
          <w:szCs w:val="24"/>
          <w:bdr w:val="none" w:color="auto" w:sz="0" w:space="0"/>
        </w:rPr>
        <w:t>发布时间：2025年02月28日</w:t>
      </w:r>
    </w:p>
    <w:p w14:paraId="44E5C0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2942"/>
      </w:pPr>
      <w:r>
        <w:rPr>
          <w:rFonts w:hint="eastAsia" w:ascii="宋体" w:hAnsi="宋体" w:eastAsia="宋体" w:cs="宋体"/>
          <w:i w:val="0"/>
          <w:iCs w:val="0"/>
          <w:caps w:val="0"/>
          <w:color w:val="333333"/>
          <w:spacing w:val="0"/>
          <w:sz w:val="24"/>
          <w:szCs w:val="24"/>
          <w:bdr w:val="none" w:color="auto" w:sz="0" w:space="0"/>
        </w:rPr>
        <w:t>字体：[</w:t>
      </w:r>
      <w:r>
        <w:rPr>
          <w:rFonts w:hint="eastAsia" w:ascii="宋体" w:hAnsi="宋体" w:eastAsia="宋体" w:cs="宋体"/>
          <w:i w:val="0"/>
          <w:iCs w:val="0"/>
          <w:caps w:val="0"/>
          <w:color w:val="333333"/>
          <w:spacing w:val="0"/>
          <w:sz w:val="24"/>
          <w:szCs w:val="24"/>
          <w:u w:val="none"/>
          <w:bdr w:val="none" w:color="auto" w:sz="0" w:space="0"/>
        </w:rPr>
        <w:fldChar w:fldCharType="begin"/>
      </w:r>
      <w:r>
        <w:rPr>
          <w:rFonts w:hint="eastAsia" w:ascii="宋体" w:hAnsi="宋体" w:eastAsia="宋体" w:cs="宋体"/>
          <w:i w:val="0"/>
          <w:iCs w:val="0"/>
          <w:caps w:val="0"/>
          <w:color w:val="333333"/>
          <w:spacing w:val="0"/>
          <w:sz w:val="24"/>
          <w:szCs w:val="24"/>
          <w:u w:val="none"/>
          <w:bdr w:val="none" w:color="auto" w:sz="0" w:space="0"/>
        </w:rPr>
        <w:instrText xml:space="preserve"> HYPERLINK "javascript:;" </w:instrText>
      </w:r>
      <w:r>
        <w:rPr>
          <w:rFonts w:hint="eastAsia" w:ascii="宋体" w:hAnsi="宋体" w:eastAsia="宋体" w:cs="宋体"/>
          <w:i w:val="0"/>
          <w:iCs w:val="0"/>
          <w:caps w:val="0"/>
          <w:color w:val="333333"/>
          <w:spacing w:val="0"/>
          <w:sz w:val="24"/>
          <w:szCs w:val="24"/>
          <w:u w:val="none"/>
          <w:bdr w:val="none" w:color="auto" w:sz="0" w:space="0"/>
        </w:rPr>
        <w:fldChar w:fldCharType="separate"/>
      </w:r>
      <w:r>
        <w:rPr>
          <w:rStyle w:val="6"/>
          <w:rFonts w:hint="eastAsia" w:ascii="宋体" w:hAnsi="宋体" w:eastAsia="宋体" w:cs="宋体"/>
          <w:i w:val="0"/>
          <w:iCs w:val="0"/>
          <w:caps w:val="0"/>
          <w:color w:val="333333"/>
          <w:spacing w:val="0"/>
          <w:sz w:val="24"/>
          <w:szCs w:val="24"/>
          <w:u w:val="none"/>
          <w:bdr w:val="none" w:color="auto" w:sz="0" w:space="0"/>
        </w:rPr>
        <w:t>大</w:t>
      </w:r>
      <w:r>
        <w:rPr>
          <w:rFonts w:hint="eastAsia" w:ascii="宋体" w:hAnsi="宋体" w:eastAsia="宋体" w:cs="宋体"/>
          <w:i w:val="0"/>
          <w:iCs w:val="0"/>
          <w:caps w:val="0"/>
          <w:color w:val="333333"/>
          <w:spacing w:val="0"/>
          <w:sz w:val="24"/>
          <w:szCs w:val="24"/>
          <w:u w:val="none"/>
          <w:bdr w:val="none" w:color="auto" w:sz="0" w:space="0"/>
        </w:rPr>
        <w:fldChar w:fldCharType="end"/>
      </w:r>
      <w:r>
        <w:rPr>
          <w:rFonts w:hint="eastAsia" w:ascii="宋体" w:hAnsi="宋体" w:eastAsia="宋体" w:cs="宋体"/>
          <w:i w:val="0"/>
          <w:iCs w:val="0"/>
          <w:caps w:val="0"/>
          <w:color w:val="333333"/>
          <w:spacing w:val="0"/>
          <w:sz w:val="24"/>
          <w:szCs w:val="24"/>
          <w:u w:val="none"/>
          <w:bdr w:val="none" w:color="auto" w:sz="0" w:space="0"/>
        </w:rPr>
        <w:fldChar w:fldCharType="begin"/>
      </w:r>
      <w:r>
        <w:rPr>
          <w:rFonts w:hint="eastAsia" w:ascii="宋体" w:hAnsi="宋体" w:eastAsia="宋体" w:cs="宋体"/>
          <w:i w:val="0"/>
          <w:iCs w:val="0"/>
          <w:caps w:val="0"/>
          <w:color w:val="333333"/>
          <w:spacing w:val="0"/>
          <w:sz w:val="24"/>
          <w:szCs w:val="24"/>
          <w:u w:val="none"/>
          <w:bdr w:val="none" w:color="auto" w:sz="0" w:space="0"/>
        </w:rPr>
        <w:instrText xml:space="preserve"> HYPERLINK "javascript:;" </w:instrText>
      </w:r>
      <w:r>
        <w:rPr>
          <w:rFonts w:hint="eastAsia" w:ascii="宋体" w:hAnsi="宋体" w:eastAsia="宋体" w:cs="宋体"/>
          <w:i w:val="0"/>
          <w:iCs w:val="0"/>
          <w:caps w:val="0"/>
          <w:color w:val="333333"/>
          <w:spacing w:val="0"/>
          <w:sz w:val="24"/>
          <w:szCs w:val="24"/>
          <w:u w:val="none"/>
          <w:bdr w:val="none" w:color="auto" w:sz="0" w:space="0"/>
        </w:rPr>
        <w:fldChar w:fldCharType="separate"/>
      </w:r>
      <w:r>
        <w:rPr>
          <w:rStyle w:val="6"/>
          <w:rFonts w:hint="eastAsia" w:ascii="宋体" w:hAnsi="宋体" w:eastAsia="宋体" w:cs="宋体"/>
          <w:i w:val="0"/>
          <w:iCs w:val="0"/>
          <w:caps w:val="0"/>
          <w:color w:val="333333"/>
          <w:spacing w:val="0"/>
          <w:sz w:val="24"/>
          <w:szCs w:val="24"/>
          <w:u w:val="none"/>
          <w:bdr w:val="none" w:color="auto" w:sz="0" w:space="0"/>
        </w:rPr>
        <w:t>中</w:t>
      </w:r>
      <w:r>
        <w:rPr>
          <w:rFonts w:hint="eastAsia" w:ascii="宋体" w:hAnsi="宋体" w:eastAsia="宋体" w:cs="宋体"/>
          <w:i w:val="0"/>
          <w:iCs w:val="0"/>
          <w:caps w:val="0"/>
          <w:color w:val="333333"/>
          <w:spacing w:val="0"/>
          <w:sz w:val="24"/>
          <w:szCs w:val="24"/>
          <w:u w:val="none"/>
          <w:bdr w:val="none" w:color="auto" w:sz="0" w:space="0"/>
        </w:rPr>
        <w:fldChar w:fldCharType="end"/>
      </w:r>
      <w:r>
        <w:rPr>
          <w:rFonts w:hint="eastAsia" w:ascii="宋体" w:hAnsi="宋体" w:eastAsia="宋体" w:cs="宋体"/>
          <w:i w:val="0"/>
          <w:iCs w:val="0"/>
          <w:caps w:val="0"/>
          <w:color w:val="333333"/>
          <w:spacing w:val="0"/>
          <w:sz w:val="24"/>
          <w:szCs w:val="24"/>
          <w:u w:val="none"/>
          <w:bdr w:val="none" w:color="auto" w:sz="0" w:space="0"/>
        </w:rPr>
        <w:fldChar w:fldCharType="begin"/>
      </w:r>
      <w:r>
        <w:rPr>
          <w:rFonts w:hint="eastAsia" w:ascii="宋体" w:hAnsi="宋体" w:eastAsia="宋体" w:cs="宋体"/>
          <w:i w:val="0"/>
          <w:iCs w:val="0"/>
          <w:caps w:val="0"/>
          <w:color w:val="333333"/>
          <w:spacing w:val="0"/>
          <w:sz w:val="24"/>
          <w:szCs w:val="24"/>
          <w:u w:val="none"/>
          <w:bdr w:val="none" w:color="auto" w:sz="0" w:space="0"/>
        </w:rPr>
        <w:instrText xml:space="preserve"> HYPERLINK "javascript:;" </w:instrText>
      </w:r>
      <w:r>
        <w:rPr>
          <w:rFonts w:hint="eastAsia" w:ascii="宋体" w:hAnsi="宋体" w:eastAsia="宋体" w:cs="宋体"/>
          <w:i w:val="0"/>
          <w:iCs w:val="0"/>
          <w:caps w:val="0"/>
          <w:color w:val="333333"/>
          <w:spacing w:val="0"/>
          <w:sz w:val="24"/>
          <w:szCs w:val="24"/>
          <w:u w:val="none"/>
          <w:bdr w:val="none" w:color="auto" w:sz="0" w:space="0"/>
        </w:rPr>
        <w:fldChar w:fldCharType="separate"/>
      </w:r>
      <w:r>
        <w:rPr>
          <w:rStyle w:val="6"/>
          <w:rFonts w:hint="eastAsia" w:ascii="宋体" w:hAnsi="宋体" w:eastAsia="宋体" w:cs="宋体"/>
          <w:i w:val="0"/>
          <w:iCs w:val="0"/>
          <w:caps w:val="0"/>
          <w:color w:val="333333"/>
          <w:spacing w:val="0"/>
          <w:sz w:val="24"/>
          <w:szCs w:val="24"/>
          <w:u w:val="none"/>
          <w:bdr w:val="none" w:color="auto" w:sz="0" w:space="0"/>
        </w:rPr>
        <w:t>小</w:t>
      </w:r>
      <w:r>
        <w:rPr>
          <w:rFonts w:hint="eastAsia" w:ascii="宋体" w:hAnsi="宋体" w:eastAsia="宋体" w:cs="宋体"/>
          <w:i w:val="0"/>
          <w:iCs w:val="0"/>
          <w:caps w:val="0"/>
          <w:color w:val="333333"/>
          <w:spacing w:val="0"/>
          <w:sz w:val="24"/>
          <w:szCs w:val="24"/>
          <w:u w:val="none"/>
          <w:bdr w:val="none" w:color="auto" w:sz="0" w:space="0"/>
        </w:rPr>
        <w:fldChar w:fldCharType="end"/>
      </w:r>
      <w:r>
        <w:rPr>
          <w:rFonts w:hint="eastAsia" w:ascii="宋体" w:hAnsi="宋体" w:eastAsia="宋体" w:cs="宋体"/>
          <w:i w:val="0"/>
          <w:iCs w:val="0"/>
          <w:caps w:val="0"/>
          <w:color w:val="333333"/>
          <w:spacing w:val="0"/>
          <w:sz w:val="24"/>
          <w:szCs w:val="24"/>
          <w:bdr w:val="none" w:color="auto" w:sz="0" w:space="0"/>
        </w:rPr>
        <w:t>]</w:t>
      </w:r>
    </w:p>
    <w:p w14:paraId="26CB17A0">
      <w:pPr>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line="450" w:lineRule="atLeast"/>
        <w:ind w:left="2942" w:right="690" w:firstLine="0"/>
        <w:jc w:val="left"/>
        <w:rPr>
          <w:rFonts w:hint="eastAsia" w:ascii="宋体" w:hAnsi="宋体" w:eastAsia="宋体" w:cs="宋体"/>
          <w:i w:val="0"/>
          <w:iCs w:val="0"/>
          <w:caps w:val="0"/>
          <w:color w:val="333333"/>
          <w:spacing w:val="0"/>
          <w:sz w:val="24"/>
          <w:szCs w:val="24"/>
        </w:rPr>
      </w:pPr>
    </w:p>
    <w:p w14:paraId="3CDFEE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全国艺术科学规划领导小组工作办公室（以下简称全国艺术科学规划办）现就做好2025年国家社科基金艺术学年度项目申报工作的有关事项公告如下。</w:t>
      </w:r>
    </w:p>
    <w:p w14:paraId="179CB5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一、2025年国家社科基金艺术学年度项目申报和评审工作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发挥国家社科基金艺术学项目示范引导作用，推动中国特色艺术学学科体系、学术体系、话语体系建设，推进自主知识体系构建，更好服务党和国家工作大局。</w:t>
      </w:r>
    </w:p>
    <w:p w14:paraId="31C84E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二、本次受理申报的国家社科基金艺术学年度项目包括一般项目、重点项目、青年项目、西部项目。</w:t>
      </w:r>
    </w:p>
    <w:p w14:paraId="234EDD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7D525B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重点项目应围绕党和国家工作大局、经济社会发展重要理论和实践问题、艺术学领域重要基础和前沿问题开展原创性研究，鼓励学科交叉。申请人应具有较好的前期研究基础，预期成果体量和质量应高于一般项目。申报重点项目评审未通过的，原则上不再转立为一般项目。</w:t>
      </w:r>
    </w:p>
    <w:p w14:paraId="7BB466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青年项目旨在加强对青年人才的扶持和培养，发挥青年学者优势，推进知识创新、理论创新、方法创新和应用创新。</w:t>
      </w:r>
    </w:p>
    <w:p w14:paraId="3059A3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649B16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三、本次申报针对重点项目设立选题指南（见附件），重点项目原则上从相应选题申报中择优立项。如确有需要，申报人可对选题名称进行适当微调，但不得大幅压缩或改变研究内容。每个选题原则上只确立1个立项项目。</w:t>
      </w:r>
    </w:p>
    <w:p w14:paraId="105C47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申报其他类别项目可以自拟题目，可对照国家社科基金艺术学近年已立项项目和研究成果，对应上述项目类别的定位和要求，着眼国家需求和学科发展，自主拟定题目申报，避免重复研究。题目表述要符合项目定位，科学严谨、简明规范，避免引起歧义或争议。</w:t>
      </w:r>
    </w:p>
    <w:p w14:paraId="0EFFCA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四、申报国家社科基金艺术学年度项目，要体现鲜明的时代特征、问题导向和创新意识，着力推出代表正确方向、体现国家水准的研究成果。基础研究要密切跟踪国内外学术发展和学科建设的前沿和动态，具有主体性、原创性和较高的学术思想价值；应用研究要立足党和国家事业发展需要，聚焦文化艺术发展中的全局性、战略性和前瞻性的重大理论与实践问题，具有现实性、针对性和较高的决策参考价值。</w:t>
      </w:r>
    </w:p>
    <w:p w14:paraId="3FD191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五、申请人须遵守中华人民共和国宪法和法律，遵守国家社科基金艺术学项目管理规定，具有独立开展研究和组织开展研究的能力，能够承担实质性研究工作，品行端正、学风优良，同时须具备下列相关条件：</w:t>
      </w:r>
    </w:p>
    <w:p w14:paraId="6A08C2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（一）重点项目和一般项目：具有副高级以上（含）专业技术职称或具有博士学位。</w:t>
      </w:r>
    </w:p>
    <w:p w14:paraId="5B3BE0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（二）青年项目：男性申请人年龄不超过35周岁（1990年4月10日后出生），女性申请人年龄不超过40周岁（1985年4月10日后出生）。</w:t>
      </w:r>
    </w:p>
    <w:p w14:paraId="1F6045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三）西部项目：符合条件（一），且申请单位位于内蒙古自治区、广西壮族自治区、海南省、重庆市、四川省、贵州省、云南省、西藏自治区、陕西省、甘肃省、青海省、宁夏回族自治区、新疆维吾尔自治区等13个省（区、市），以及其他参照西部项目执行的部分科研单位。</w:t>
      </w:r>
    </w:p>
    <w:p w14:paraId="387DAD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四）全日制在读研究生不能申请（学历、学位证书标注日期均须在2025年4月10日之前）。符合申报要求的在站博士后人员可申请，其中全脱产博士后须从所在博士后工作站申请，在职博士后可以从所在工作单位或博士后工作站申请。</w:t>
      </w:r>
    </w:p>
    <w:p w14:paraId="3E4424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（五）各项目课题组列入研究成员须征得本人同意，否则视为违规申报。申请人可根据实际研究需要，吸收境外研究人员作为课题组成员。</w:t>
      </w:r>
    </w:p>
    <w:p w14:paraId="204E4E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（六）文化和旅游部机关工作人员不能申请或者作为课题组成员参与申请。</w:t>
      </w:r>
    </w:p>
    <w:p w14:paraId="428C5B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六、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14:paraId="788D17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七、国家社科基金艺术学年度项目的资助额度参考标准：重点项目35万元，一般项目、青年项目、西部项目20万元。最终确定的资助额度在适当范围内上下浮动，申请人应按照《国家社会科学基金项目资金管理办法》的要求，根据实际需要编制科学合理的经费预算。</w:t>
      </w:r>
    </w:p>
    <w:p w14:paraId="6B2EA0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八、国家社科基金艺术学年度项目的完成时限：基础理论研究一般为3—5年，应用对策研究一般为2—3年。</w:t>
      </w:r>
    </w:p>
    <w:p w14:paraId="535307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九、2025年国家社科基金艺术学年度项目继续实行限额申报，各全国艺术科学规划项目省级管理机构、文化和旅游部直属单位及共建院校可直接登录“全国艺术科学规划项目管理平台”（以下简称项目管理平台，网址：https://yskx.mct.gov.cn）查看本地区（本单位）限额指标。各省级管理机构需根据本地区申请单位近年来项目申报、立项及科研管理等情况制定限额方案。省级管理机构和申请单位要着力提高申报质量，减少同类选题重复申报，加大对青年项目的支持力度。</w:t>
      </w:r>
    </w:p>
    <w:p w14:paraId="413F5D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十、为避免一题多报、交叉申请和重复立项，确保申请人有足够的时间和精力从事课题研究，2025年国家社科基金艺术学年度项目申请作如下限定：</w:t>
      </w:r>
    </w:p>
    <w:p w14:paraId="41FE96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一）申请人只能申报一个国家社科基金艺术学年度项目，且不能作为课题组成员参与申报其他国家社科基金艺术学年度项目。课题组成员最多参与两个国家社科基金艺术学年度项目申请；在研国家级项目课题组成员最多参与一个国家社科基金艺术学年度项目申请。申报本次年度项目的申请人不能申报2025年国家社会科学基金艺术学重大项目。</w:t>
      </w:r>
    </w:p>
    <w:p w14:paraId="115963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二）在研的国家社科基金各类项目、国家自然科学基金项目及其他国家级科研项目的负责人，不得申报新的国家社科基金艺术学年度项目（结项证书标注日期在2025年4月10日之前的，或在4月1日前已通过项目管理平台提交结项材料并审核通过的，可以申请）。</w:t>
      </w:r>
    </w:p>
    <w:p w14:paraId="47D4D8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三）国家社科基金项目、国家自然科学基金项目及其他国家级科研项目、教育部人文社会科学研究一般项目的申请人同年度不能申报国家社科基金艺术学年度项目，其课题组成员也不能作为负责人以内容相同或相近选题申请国家社科基金艺术学年度项目。</w:t>
      </w:r>
    </w:p>
    <w:p w14:paraId="4D1FF4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（四）不得通过变换责任单位回避前述条款规定，不得将内容基本相同或相近的申报材料以不同申请人的名义提出申请。</w:t>
      </w:r>
    </w:p>
    <w:p w14:paraId="55B0E6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五）凡在内容上与在研或已结项的各类国家级科研项目有较大关联的，须在申请时详细说明所申请项目与已承担项目的联系和区别，否则视为重复申请；不得以内容基本相同或相近的同一成果申请多家基金项目结项。</w:t>
      </w:r>
    </w:p>
    <w:p w14:paraId="78F19B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六）凡以博士学位论文或博士后出站报告为基础申报国家社科基金艺术学年度项目，须在申请时注明所申请项目与学位论文（出站报告）的联系和区别，并承诺在原论文（出站报告）基础上进行实质性修改，预期成果与学位论文（出站报告）的重复比例不得超过60%，申请鉴定结项时须提交学位论文（出站报告）原件。</w:t>
      </w:r>
    </w:p>
    <w:p w14:paraId="13B5FF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（七）不得使用与已出版的内容基本相同的研究成果申请国家社科基金艺术学年度项目。</w:t>
      </w:r>
    </w:p>
    <w:p w14:paraId="7BDA4F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（八）立项后凡以国家社科基金艺术学年度项目名义发表阶段性成果或最终成果，不得同时标注多家基金项目资助字样。</w:t>
      </w:r>
    </w:p>
    <w:p w14:paraId="3469B0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（九）预期成果需达到国家级项目应有体量。</w:t>
      </w:r>
    </w:p>
    <w:p w14:paraId="70C402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十一、2025年国家社科基金艺术学年度项目继续实行网上申报。请申请人登录项目管理平台，按照有关说明注册帐号并提交申报材料。</w:t>
      </w:r>
    </w:p>
    <w:p w14:paraId="43DC0B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十二、所有申报项目将通过资格审查、同行专家通讯初评和复评等程序。资格审查和评审工作严格按照《全国艺术科学规划项目管理办法》及本公告的规定进行。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14:paraId="41ECE2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十三、申报纪律要求</w:t>
      </w:r>
    </w:p>
    <w:p w14:paraId="79C051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（一）贯彻落实中央《关于进一步加强科研诚信建设的若干意见》，申请人要如实填写材料，保证申请信息的真实性和准确性、保证没有知识产权争议、没有违背科研诚信要求的行为。</w:t>
      </w:r>
    </w:p>
    <w:p w14:paraId="4AD1BF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二）申请人要弘扬崇尚精品、严谨治学、注重诚信、讲求责任的优良学风，自觉坚持公平竞争的原则，严格遵守国家社科基金项目管理规定。凡在项目申报和评审中发现有弄虚作假、抄袭剽窃、违规违纪等行为的，一经查实即取消参评资格，5年内不得申报国家社科基金项目，同时通报批评，并责成所在单位依规进行处分，如获立项，一律撤项，并列入不良科研信用记录。</w:t>
      </w:r>
    </w:p>
    <w:p w14:paraId="5888CF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三）获准立项后，项目管理平台生成的《申报书》视为有约束力的资助合同文本，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论证中予以说明。</w:t>
      </w:r>
    </w:p>
    <w:p w14:paraId="14E12B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十四、全国艺术科学规划办不直接受理申报，委托中国艺术科技研究所承担申报材料的受理工作。</w:t>
      </w:r>
    </w:p>
    <w:p w14:paraId="2EC00E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十五、除文化和旅游部直属单位及共建院校外，国家社科基金艺术学年度项目实行三级申报制度，申报课题经本单位、省级管理机构、中国艺术科技研究所审核后报送至全国艺术科学规划办；文化和旅游部直属单位及共建院校实行二级申报制度，申报课题经本单位、中国艺术科技研究所审核后报送至全国艺术科学规划办。</w:t>
      </w:r>
    </w:p>
    <w:p w14:paraId="21BAC2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各省级管理机构和申请单位要做好申报组织及申报材料的审核把关工作，根据本公告及有关规定严格审核《申报书》的所有栏目内容，特别是严格审核申报资格、前期研究成果的真实性、课题组的研究实力和必备条件等，通过项目管理平台签署明确意见，承担信誉保证。要认真负责做好帐号管理、名单报送等工作，确保网上申报按期完成。</w:t>
      </w:r>
    </w:p>
    <w:p w14:paraId="47106F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十六、课题申报相关文件材料，包括《2025年国家社科基金艺术学年度重点项目选题指南》《国家社会科学基金项目资金管理办法》《全国艺术科学规划项目管理办法》《历年立项课题汇编》等，可在文化和旅游部网站或项目管理平台主页上查询、下载。 </w:t>
      </w:r>
    </w:p>
    <w:p w14:paraId="4D6676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十七、申请人及所在单位（含文化和旅游部直属单位及共建院校）网上集中申报和审核提交时间为2025年3月10日至4月10日，逾期项目管理平台自动关闭，不再受理申报、审核。申报单位完成本级资格审查及项目提交后，要同时将生成的本单位项目汇总表打印盖章后报送至各省级管理机构；省级管理机构网上审核提交时间为4月11日至4月30日，省级管理机构、文化和旅游部直属单位及共建院校完成本级资格审查及项目提交后，要同时将项目管理平台生成的本地区（本单位）项目汇总表打印盖章后报送至中国艺术科技研究所全国艺术科学规划项目管理中心。请严格按照以上时间要求进行申报、审核，因错过受理时间、未按要求操作造成的责任由相关人员自行承担。</w:t>
      </w:r>
    </w:p>
    <w:p w14:paraId="5432EE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邮寄地址：北京市东城区雍和宫大街戏楼胡同1号中国艺术科技研究所全国艺术科学规划项目管理中心</w:t>
      </w:r>
    </w:p>
    <w:p w14:paraId="01FA22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邮政编码：100007</w:t>
      </w:r>
    </w:p>
    <w:p w14:paraId="2A40DB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咨询电话：010-87930753</w:t>
      </w:r>
    </w:p>
    <w:p w14:paraId="08FDAE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邮箱：qgyskxghb@163.com（请优先通过邮箱咨询申报问题）</w:t>
      </w:r>
    </w:p>
    <w:p w14:paraId="334DCE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特此公告。</w:t>
      </w:r>
    </w:p>
    <w:p w14:paraId="04650B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p>
    <w:p w14:paraId="4E4124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w:t>
      </w:r>
    </w:p>
    <w:p w14:paraId="1095B8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both"/>
        <w:rPr>
          <w:rFonts w:hint="eastAsia" w:ascii="宋体" w:hAnsi="宋体" w:eastAsia="宋体" w:cs="宋体"/>
          <w:i w:val="0"/>
          <w:iCs w:val="0"/>
          <w:caps w:val="0"/>
          <w:color w:val="333333"/>
          <w:spacing w:val="0"/>
          <w:sz w:val="24"/>
          <w:szCs w:val="24"/>
        </w:rPr>
      </w:pPr>
    </w:p>
    <w:p w14:paraId="3479CE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文化和旅游部科技教育司  </w:t>
      </w:r>
    </w:p>
    <w:p w14:paraId="65862A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lang w:val="en-US" w:eastAsia="zh-CN" w:bidi="ar"/>
        </w:rPr>
        <w:t>　　全国艺术科学规划领导小组办公室</w:t>
      </w:r>
    </w:p>
    <w:p w14:paraId="3CBC8C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right"/>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rPr>
        <w:t>　　2025年2月28日    </w:t>
      </w:r>
    </w:p>
    <w:p w14:paraId="1697BE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690" w:right="690" w:firstLine="0"/>
        <w:jc w:val="left"/>
        <w:rPr>
          <w:rFonts w:hint="eastAsia" w:ascii="宋体" w:hAnsi="宋体" w:eastAsia="宋体" w:cs="宋体"/>
          <w:i w:val="0"/>
          <w:iCs w:val="0"/>
          <w:caps w:val="0"/>
          <w:color w:val="333333"/>
          <w:spacing w:val="0"/>
          <w:sz w:val="27"/>
          <w:szCs w:val="27"/>
        </w:rPr>
      </w:pPr>
    </w:p>
    <w:p w14:paraId="6592E255">
      <w:pPr>
        <w:keepNext w:val="0"/>
        <w:keepLines w:val="0"/>
        <w:widowControl/>
        <w:suppressLineNumbers w:val="0"/>
        <w:pBdr>
          <w:top w:val="single" w:color="B3B3B3" w:sz="6" w:space="7"/>
          <w:left w:val="none" w:color="auto" w:sz="0" w:space="0"/>
          <w:bottom w:val="single" w:color="B3B3B3" w:sz="6" w:space="7"/>
          <w:right w:val="none" w:color="auto" w:sz="0" w:space="0"/>
        </w:pBdr>
        <w:spacing w:before="0" w:beforeAutospacing="0" w:after="0" w:afterAutospacing="0" w:line="432" w:lineRule="atLeast"/>
        <w:ind w:left="690" w:right="690" w:firstLine="0"/>
        <w:jc w:val="left"/>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bdr w:val="none" w:color="auto" w:sz="0" w:space="0"/>
          <w:lang w:val="en-US" w:eastAsia="zh-CN" w:bidi="ar"/>
        </w:rPr>
        <w:t>附件：</w:t>
      </w:r>
    </w:p>
    <w:p w14:paraId="79DE66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pPr>
      <w:r>
        <w:rPr>
          <w:rFonts w:ascii="Symbol" w:hAnsi="Symbol" w:eastAsia="Symbol" w:cs="Symbol"/>
          <w:sz w:val="24"/>
        </w:rPr>
        <w:t>·</w:t>
      </w:r>
      <w:r>
        <w:rPr>
          <w:rFonts w:hint="eastAsia" w:ascii="宋体" w:hAnsi="宋体" w:eastAsia="宋体" w:cs="宋体"/>
          <w:sz w:val="24"/>
        </w:rPr>
        <w:t xml:space="preserve">  </w:t>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"https://zwgk.mct.gov.cn/zfxxgkml/kjjy/202502/P020250228438844928271.doc" \t "https://zwgk.mct.gov.cn/zfxxgkml/kjjy/202502/_blank"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1. 2025年国家社科基金艺术学年度重点项目选题指南.doc</w:t>
      </w:r>
      <w:r>
        <w:rPr>
          <w:rFonts w:hint="eastAsia" w:ascii="宋体" w:hAnsi="宋体" w:eastAsia="宋体" w:cs="宋体"/>
          <w:i w:val="0"/>
          <w:iCs w:val="0"/>
          <w:caps w:val="0"/>
          <w:color w:val="0000FF"/>
          <w:spacing w:val="0"/>
          <w:sz w:val="24"/>
          <w:szCs w:val="24"/>
          <w:u w:val="none"/>
          <w:bdr w:val="none" w:color="auto" w:sz="0" w:space="0"/>
        </w:rPr>
        <w:fldChar w:fldCharType="end"/>
      </w:r>
      <w:r>
        <w:rPr>
          <w:rFonts w:hint="eastAsia" w:ascii="宋体" w:hAnsi="宋体" w:eastAsia="宋体" w:cs="宋体"/>
          <w:i w:val="0"/>
          <w:iCs w:val="0"/>
          <w:caps w:val="0"/>
          <w:color w:val="0000FF"/>
          <w:spacing w:val="0"/>
          <w:sz w:val="24"/>
          <w:szCs w:val="24"/>
          <w:bdr w:val="none" w:color="auto" w:sz="0" w:space="0"/>
        </w:rPr>
        <w:br w:type="textWrapping"/>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"https://zwgk.mct.gov.cn/zfxxgkml/kjjy/202502/P020250228381094933957.doc" \t "https://zwgk.mct.gov.cn/zfxxgkml/kjjy/202502/_blank"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2. 国家社会科学基金项目资金管理办法.doc</w:t>
      </w:r>
      <w:r>
        <w:rPr>
          <w:rFonts w:hint="eastAsia" w:ascii="宋体" w:hAnsi="宋体" w:eastAsia="宋体" w:cs="宋体"/>
          <w:i w:val="0"/>
          <w:iCs w:val="0"/>
          <w:caps w:val="0"/>
          <w:color w:val="0000FF"/>
          <w:spacing w:val="0"/>
          <w:sz w:val="24"/>
          <w:szCs w:val="24"/>
          <w:u w:val="none"/>
          <w:bdr w:val="none" w:color="auto" w:sz="0" w:space="0"/>
        </w:rPr>
        <w:fldChar w:fldCharType="end"/>
      </w:r>
      <w:r>
        <w:rPr>
          <w:rFonts w:hint="eastAsia" w:ascii="宋体" w:hAnsi="宋体" w:eastAsia="宋体" w:cs="宋体"/>
          <w:i w:val="0"/>
          <w:iCs w:val="0"/>
          <w:caps w:val="0"/>
          <w:color w:val="0000FF"/>
          <w:spacing w:val="0"/>
          <w:sz w:val="24"/>
          <w:szCs w:val="24"/>
          <w:bdr w:val="none" w:color="auto" w:sz="0" w:space="0"/>
        </w:rPr>
        <w:br w:type="textWrapping"/>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"https://zwgk.mct.gov.cn/zfxxgkml/kjjy/202502/P020250228381095135731.xlsx" \t "https://zwgk.mct.gov.cn/zfxxgkml/kjjy/202502/_blank"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3. 各省(区、市)省级管理机构联络表.xlsx</w:t>
      </w:r>
      <w:r>
        <w:rPr>
          <w:rFonts w:hint="eastAsia" w:ascii="宋体" w:hAnsi="宋体" w:eastAsia="宋体" w:cs="宋体"/>
          <w:i w:val="0"/>
          <w:iCs w:val="0"/>
          <w:caps w:val="0"/>
          <w:color w:val="0000FF"/>
          <w:spacing w:val="0"/>
          <w:sz w:val="24"/>
          <w:szCs w:val="24"/>
          <w:u w:val="none"/>
          <w:bdr w:val="none" w:color="auto" w:sz="0" w:space="0"/>
        </w:rPr>
        <w:fldChar w:fldCharType="end"/>
      </w:r>
      <w:r>
        <w:rPr>
          <w:rFonts w:hint="eastAsia" w:ascii="宋体" w:hAnsi="宋体" w:eastAsia="宋体" w:cs="宋体"/>
          <w:i w:val="0"/>
          <w:iCs w:val="0"/>
          <w:caps w:val="0"/>
          <w:color w:val="0000FF"/>
          <w:spacing w:val="0"/>
          <w:sz w:val="24"/>
          <w:szCs w:val="24"/>
          <w:bdr w:val="none" w:color="auto" w:sz="0" w:space="0"/>
        </w:rPr>
        <w:br w:type="textWrapping"/>
      </w:r>
      <w:r>
        <w:rPr>
          <w:rFonts w:hint="eastAsia" w:ascii="宋体" w:hAnsi="宋体" w:eastAsia="宋体" w:cs="宋体"/>
          <w:i w:val="0"/>
          <w:iCs w:val="0"/>
          <w:caps w:val="0"/>
          <w:color w:val="0000FF"/>
          <w:spacing w:val="0"/>
          <w:sz w:val="24"/>
          <w:szCs w:val="24"/>
          <w:u w:val="none"/>
          <w:bdr w:val="none" w:color="auto" w:sz="0" w:space="0"/>
        </w:rPr>
        <w:fldChar w:fldCharType="begin"/>
      </w:r>
      <w:r>
        <w:rPr>
          <w:rFonts w:hint="eastAsia" w:ascii="宋体" w:hAnsi="宋体" w:eastAsia="宋体" w:cs="宋体"/>
          <w:i w:val="0"/>
          <w:iCs w:val="0"/>
          <w:caps w:val="0"/>
          <w:color w:val="0000FF"/>
          <w:spacing w:val="0"/>
          <w:sz w:val="24"/>
          <w:szCs w:val="24"/>
          <w:u w:val="none"/>
          <w:bdr w:val="none" w:color="auto" w:sz="0" w:space="0"/>
        </w:rPr>
        <w:instrText xml:space="preserve"> HYPERLINK "https://zwgk.mct.gov.cn/zfxxgkml/kjjy/202502/P020250228381095336569.xlsx" \t "https://zwgk.mct.gov.cn/zfxxgkml/kjjy/202502/_blank" </w:instrText>
      </w:r>
      <w:r>
        <w:rPr>
          <w:rFonts w:hint="eastAsia" w:ascii="宋体" w:hAnsi="宋体" w:eastAsia="宋体" w:cs="宋体"/>
          <w:i w:val="0"/>
          <w:iCs w:val="0"/>
          <w:caps w:val="0"/>
          <w:color w:val="0000FF"/>
          <w:spacing w:val="0"/>
          <w:sz w:val="24"/>
          <w:szCs w:val="24"/>
          <w:u w:val="none"/>
          <w:bdr w:val="none" w:color="auto" w:sz="0" w:space="0"/>
        </w:rPr>
        <w:fldChar w:fldCharType="separate"/>
      </w:r>
      <w:r>
        <w:rPr>
          <w:rStyle w:val="6"/>
          <w:rFonts w:hint="eastAsia" w:ascii="宋体" w:hAnsi="宋体" w:eastAsia="宋体" w:cs="宋体"/>
          <w:i w:val="0"/>
          <w:iCs w:val="0"/>
          <w:caps w:val="0"/>
          <w:color w:val="0000FF"/>
          <w:spacing w:val="0"/>
          <w:sz w:val="24"/>
          <w:szCs w:val="24"/>
          <w:u w:val="none"/>
          <w:bdr w:val="none" w:color="auto" w:sz="0" w:space="0"/>
        </w:rPr>
        <w:t>4. 国家社科基金艺术学历年立项项目汇编（2021-2024).xlsx</w:t>
      </w:r>
      <w:r>
        <w:rPr>
          <w:rFonts w:hint="eastAsia" w:ascii="宋体" w:hAnsi="宋体" w:eastAsia="宋体" w:cs="宋体"/>
          <w:i w:val="0"/>
          <w:iCs w:val="0"/>
          <w:caps w:val="0"/>
          <w:color w:val="0000FF"/>
          <w:spacing w:val="0"/>
          <w:sz w:val="24"/>
          <w:szCs w:val="24"/>
          <w:u w:val="none"/>
          <w:bdr w:val="none" w:color="auto" w:sz="0" w:space="0"/>
        </w:rPr>
        <w:fldChar w:fldCharType="end"/>
      </w:r>
    </w:p>
    <w:p w14:paraId="3B978D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89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2025-03-06T06:37:32Z</dcterms:created>
  <dc:creator>diaoy</dc:creator>
  <cp:lastModifiedBy>结结</cp:lastModifiedBy>
  <dcterms:modified xsi:type="dcterms:W3CDTF">2025-03-06T06:38:17Z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eyJoZGlkIjoiYWEzNmNiMTJmMTRiMzczNjFjMWU2OTg5ODFkMTQ0MjgiLCJ1c2VySWQiOiI1NzgwNTU2NzkifQ==</vt:lpwstr>
  </property>
  <property fmtid="{D5CDD505-2E9C-101B-9397-08002B2CF9AE}" pid="4" name="ICV">
    <vt:lpwstr>53106964D3AF4A3580978C19CC0E9460_12</vt:lpwstr>
  </property>
</Properties>
</file>