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r>
        <w:rPr>
          <w:rFonts w:hint="eastAsia" w:ascii="方正小标宋简体" w:eastAsia="方正小标宋简体"/>
          <w:sz w:val="44"/>
          <w:szCs w:val="44"/>
        </w:rPr>
        <w:t>上海电子信息职业技术学院</w:t>
      </w:r>
    </w:p>
    <w:p>
      <w:pPr>
        <w:jc w:val="center"/>
        <w:rPr>
          <w:rFonts w:ascii="方正小标宋简体" w:eastAsia="方正小标宋简体"/>
          <w:sz w:val="44"/>
          <w:szCs w:val="44"/>
        </w:rPr>
      </w:pPr>
      <w:r>
        <w:rPr>
          <w:rFonts w:hint="eastAsia" w:ascii="方正小标宋简体" w:eastAsia="方正小标宋简体"/>
          <w:sz w:val="44"/>
          <w:szCs w:val="44"/>
        </w:rPr>
        <w:t>《高等职业教育创新发展行动计划（2015-2018年）》项目（任务）</w:t>
      </w:r>
    </w:p>
    <w:p>
      <w:pPr>
        <w:jc w:val="center"/>
        <w:rPr>
          <w:rFonts w:ascii="方正小标宋简体" w:eastAsia="方正小标宋简体"/>
          <w:sz w:val="44"/>
          <w:szCs w:val="44"/>
        </w:rPr>
      </w:pPr>
      <w:r>
        <w:rPr>
          <w:rFonts w:hint="eastAsia" w:ascii="方正小标宋简体" w:eastAsia="方正小标宋简体"/>
          <w:sz w:val="44"/>
          <w:szCs w:val="44"/>
        </w:rPr>
        <w:t>2017年度绩效报告</w:t>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黑体" w:hAnsi="黑体" w:eastAsia="黑体"/>
          <w:sz w:val="44"/>
          <w:szCs w:val="44"/>
        </w:rPr>
      </w:pPr>
      <w:r>
        <w:rPr>
          <w:rFonts w:hint="eastAsia" w:ascii="黑体" w:hAnsi="黑体" w:eastAsia="黑体"/>
          <w:sz w:val="44"/>
          <w:szCs w:val="44"/>
        </w:rPr>
        <w:t>2017年12月</w:t>
      </w:r>
    </w:p>
    <w:p>
      <w:pPr>
        <w:rPr>
          <w:rFonts w:ascii="仿宋" w:hAnsi="仿宋" w:eastAsia="仿宋" w:cs="仿宋"/>
          <w:b/>
          <w:bCs/>
          <w:sz w:val="28"/>
          <w:szCs w:val="28"/>
        </w:rPr>
      </w:pPr>
    </w:p>
    <w:p>
      <w:pPr>
        <w:rPr>
          <w:rFonts w:ascii="仿宋" w:hAnsi="仿宋" w:eastAsia="仿宋" w:cs="仿宋"/>
          <w:b/>
          <w:bCs/>
          <w:sz w:val="28"/>
          <w:szCs w:val="28"/>
        </w:rPr>
      </w:pPr>
    </w:p>
    <w:p>
      <w:pPr>
        <w:jc w:val="center"/>
        <w:rPr>
          <w:rFonts w:ascii="仿宋" w:hAnsi="仿宋" w:eastAsia="仿宋" w:cs="仿宋"/>
          <w:b/>
          <w:bCs/>
          <w:sz w:val="32"/>
          <w:szCs w:val="32"/>
        </w:rPr>
        <w:sectPr>
          <w:headerReference r:id="rId3" w:type="default"/>
          <w:pgSz w:w="11906" w:h="16838"/>
          <w:pgMar w:top="1440" w:right="1800" w:bottom="1440" w:left="1800" w:header="851" w:footer="992" w:gutter="0"/>
          <w:pgNumType w:start="1"/>
          <w:cols w:space="425" w:num="1"/>
          <w:titlePg/>
          <w:docGrid w:type="line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创新发展行动计划2017年度绩效报告</w:t>
      </w:r>
    </w:p>
    <w:p>
      <w:pPr>
        <w:jc w:val="center"/>
        <w:rPr>
          <w:rFonts w:ascii="仿宋" w:hAnsi="仿宋" w:eastAsia="仿宋" w:cs="仿宋"/>
          <w:b/>
          <w:bCs/>
          <w:sz w:val="32"/>
          <w:szCs w:val="32"/>
        </w:rPr>
      </w:pPr>
      <w:r>
        <w:rPr>
          <w:rFonts w:hint="eastAsia" w:ascii="仿宋" w:hAnsi="仿宋" w:eastAsia="仿宋" w:cs="仿宋"/>
          <w:b/>
          <w:bCs/>
          <w:sz w:val="32"/>
          <w:szCs w:val="32"/>
        </w:rPr>
        <w:t>目录</w:t>
      </w:r>
    </w:p>
    <w:sdt>
      <w:sdtPr>
        <w:rPr>
          <w:rFonts w:ascii="宋体" w:hAnsi="宋体" w:eastAsia="宋体"/>
          <w:sz w:val="21"/>
        </w:rPr>
        <w:id w:val="147476865"/>
        <w:docPartObj>
          <w:docPartGallery w:val="Table of Contents"/>
          <w:docPartUnique/>
        </w:docPartObj>
      </w:sdtPr>
      <w:sdtEndPr>
        <w:rPr>
          <w:rFonts w:ascii="Times New Roman" w:hAnsi="Times New Roman" w:eastAsia="宋体" w:cs="Times New Roman"/>
          <w:sz w:val="21"/>
          <w:lang w:val="en-US" w:eastAsia="zh-CN" w:bidi="ar-SA"/>
        </w:rPr>
      </w:sdtEndPr>
      <w:sdtContent>
        <w:p>
          <w:pPr>
            <w:pStyle w:val="11"/>
            <w:tabs>
              <w:tab w:val="right" w:leader="dot" w:pos="8306"/>
            </w:tabs>
          </w:pPr>
          <w:bookmarkStart w:id="0" w:name="_Toc8664"/>
          <w:bookmarkStart w:id="1" w:name="_Toc11328"/>
          <w:bookmarkStart w:id="2" w:name="_Toc17614"/>
          <w:bookmarkStart w:id="3" w:name="_Toc2620"/>
        </w:p>
        <w:p>
          <w:pPr>
            <w:pStyle w:val="11"/>
            <w:tabs>
              <w:tab w:val="right" w:leader="dot" w:pos="8306"/>
            </w:tabs>
          </w:pPr>
          <w:r>
            <w:rPr>
              <w:b/>
              <w:bCs/>
            </w:rPr>
            <w:fldChar w:fldCharType="begin"/>
          </w:r>
          <w:r>
            <w:instrText xml:space="preserve"> HYPERLINK \l _Toc17644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d0713472-3eb6-47f5-ab4f-abb151c2ac59}"/>
              </w:placeholder>
            </w:sdtPr>
            <w:sdtEndPr>
              <w:rPr>
                <w:rFonts w:asciiTheme="minorHAnsi" w:hAnsiTheme="minorHAnsi" w:eastAsiaTheme="minorEastAsia" w:cstheme="minorBidi"/>
                <w:b/>
                <w:bCs/>
                <w:kern w:val="2"/>
                <w:sz w:val="21"/>
                <w:szCs w:val="24"/>
                <w:lang w:val="en-US" w:eastAsia="zh-CN" w:bidi="ar-SA"/>
              </w:rPr>
            </w:sdtEndPr>
            <w:sdtContent>
              <w:r>
                <w:rPr>
                  <w:rFonts w:hint="eastAsia" w:ascii="仿宋_GB2312" w:eastAsia="仿宋_GB2312" w:hAnsiTheme="minorHAnsi" w:cstheme="minorBidi"/>
                  <w:b/>
                  <w:bCs/>
                </w:rPr>
                <w:t>一、项目（任务）基本概况</w:t>
              </w:r>
            </w:sdtContent>
          </w:sdt>
          <w:r>
            <w:rPr>
              <w:b/>
              <w:bCs/>
            </w:rPr>
            <w:tab/>
          </w:r>
          <w:r>
            <w:rPr>
              <w:b/>
              <w:bCs/>
            </w:rPr>
            <w:t>1</w:t>
          </w:r>
          <w:r>
            <w:rPr>
              <w:b/>
              <w:bCs/>
            </w:rPr>
            <w:fldChar w:fldCharType="end"/>
          </w:r>
        </w:p>
        <w:p>
          <w:pPr>
            <w:pStyle w:val="11"/>
            <w:tabs>
              <w:tab w:val="right" w:leader="dot" w:pos="8306"/>
            </w:tabs>
          </w:pPr>
          <w:r>
            <w:rPr>
              <w:b/>
              <w:bCs/>
            </w:rPr>
            <w:fldChar w:fldCharType="begin"/>
          </w:r>
          <w:r>
            <w:instrText xml:space="preserve"> HYPERLINK \l _Toc5736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e056cb83-172d-4180-9b11-fd1960a69785}"/>
              </w:placeholder>
            </w:sdtPr>
            <w:sdtEndPr>
              <w:rPr>
                <w:rFonts w:asciiTheme="minorHAnsi" w:hAnsiTheme="minorHAnsi" w:eastAsiaTheme="minorEastAsia" w:cstheme="minorBidi"/>
                <w:b/>
                <w:bCs/>
                <w:kern w:val="2"/>
                <w:sz w:val="21"/>
                <w:szCs w:val="24"/>
                <w:lang w:val="en-US" w:eastAsia="zh-CN" w:bidi="ar-SA"/>
              </w:rPr>
            </w:sdtEndPr>
            <w:sdtContent>
              <w:r>
                <w:rPr>
                  <w:rFonts w:hint="eastAsia" w:ascii="仿宋_GB2312" w:eastAsia="仿宋_GB2312" w:hAnsiTheme="minorHAnsi" w:cstheme="minorBidi"/>
                  <w:b/>
                  <w:bCs/>
                </w:rPr>
                <w:t>二、工作保障</w:t>
              </w:r>
            </w:sdtContent>
          </w:sdt>
          <w:r>
            <w:rPr>
              <w:b/>
              <w:bCs/>
            </w:rPr>
            <w:tab/>
          </w:r>
          <w:r>
            <w:rPr>
              <w:b/>
              <w:bCs/>
            </w:rPr>
            <w:t>2</w:t>
          </w:r>
          <w:r>
            <w:rPr>
              <w:b/>
              <w:bCs/>
            </w:rPr>
            <w:fldChar w:fldCharType="end"/>
          </w:r>
        </w:p>
        <w:p>
          <w:pPr>
            <w:pStyle w:val="12"/>
            <w:tabs>
              <w:tab w:val="right" w:leader="dot" w:pos="8306"/>
            </w:tabs>
          </w:pPr>
          <w:r>
            <w:fldChar w:fldCharType="begin"/>
          </w:r>
          <w:r>
            <w:instrText xml:space="preserve"> HYPERLINK \l _Toc22669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6b162824-cc84-4daf-b879-e8ab24030ca3}"/>
              </w:placeholder>
            </w:sdtPr>
            <w:sdtEndPr>
              <w:rPr>
                <w:rFonts w:asciiTheme="minorHAnsi" w:hAnsiTheme="minorHAnsi" w:eastAsiaTheme="minorEastAsia" w:cstheme="minorBidi"/>
                <w:kern w:val="2"/>
                <w:sz w:val="21"/>
                <w:szCs w:val="24"/>
                <w:lang w:val="en-US" w:eastAsia="zh-CN" w:bidi="ar-SA"/>
              </w:rPr>
            </w:sdtEndPr>
            <w:sdtContent>
              <w:r>
                <w:rPr>
                  <w:rFonts w:hint="eastAsia" w:ascii="仿宋" w:hAnsi="仿宋" w:eastAsia="仿宋" w:cs="仿宋"/>
                </w:rPr>
                <w:t>（一）加强组织领导</w:t>
              </w:r>
            </w:sdtContent>
          </w:sdt>
          <w:r>
            <w:tab/>
          </w:r>
          <w:r>
            <w:t>2</w:t>
          </w:r>
          <w:r>
            <w:fldChar w:fldCharType="end"/>
          </w:r>
        </w:p>
        <w:p>
          <w:pPr>
            <w:pStyle w:val="12"/>
            <w:tabs>
              <w:tab w:val="right" w:leader="dot" w:pos="8306"/>
            </w:tabs>
          </w:pPr>
          <w:r>
            <w:fldChar w:fldCharType="begin"/>
          </w:r>
          <w:r>
            <w:instrText xml:space="preserve"> HYPERLINK \l _Toc11571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2b140b6a-7555-427c-a30d-b48dc5926486}"/>
              </w:placeholder>
            </w:sdtPr>
            <w:sdtEndPr>
              <w:rPr>
                <w:rFonts w:asciiTheme="minorHAnsi" w:hAnsiTheme="minorHAnsi" w:eastAsiaTheme="minorEastAsia" w:cstheme="minorBidi"/>
                <w:kern w:val="2"/>
                <w:sz w:val="21"/>
                <w:szCs w:val="24"/>
                <w:lang w:val="en-US" w:eastAsia="zh-CN" w:bidi="ar-SA"/>
              </w:rPr>
            </w:sdtEndPr>
            <w:sdtContent>
              <w:r>
                <w:rPr>
                  <w:rFonts w:hint="eastAsia" w:ascii="仿宋" w:hAnsi="仿宋" w:eastAsia="仿宋" w:cs="仿宋"/>
                </w:rPr>
                <w:t>（二）强化管理督查</w:t>
              </w:r>
            </w:sdtContent>
          </w:sdt>
          <w:r>
            <w:tab/>
          </w:r>
          <w:r>
            <w:t>2</w:t>
          </w:r>
          <w:r>
            <w:fldChar w:fldCharType="end"/>
          </w:r>
        </w:p>
        <w:p>
          <w:pPr>
            <w:pStyle w:val="12"/>
            <w:tabs>
              <w:tab w:val="right" w:leader="dot" w:pos="8306"/>
            </w:tabs>
          </w:pPr>
          <w:r>
            <w:fldChar w:fldCharType="begin"/>
          </w:r>
          <w:r>
            <w:instrText xml:space="preserve"> HYPERLINK \l _Toc4543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75ea1220-d4b6-41e8-94cd-1591f3d46591}"/>
              </w:placeholder>
            </w:sdtPr>
            <w:sdtEndPr>
              <w:rPr>
                <w:rFonts w:asciiTheme="minorHAnsi" w:hAnsiTheme="minorHAnsi" w:eastAsiaTheme="minorEastAsia" w:cstheme="minorBidi"/>
                <w:kern w:val="2"/>
                <w:sz w:val="21"/>
                <w:szCs w:val="24"/>
                <w:lang w:val="en-US" w:eastAsia="zh-CN" w:bidi="ar-SA"/>
              </w:rPr>
            </w:sdtEndPr>
            <w:sdtContent>
              <w:r>
                <w:rPr>
                  <w:rFonts w:hint="eastAsia" w:ascii="仿宋" w:hAnsi="仿宋" w:eastAsia="仿宋" w:cs="仿宋"/>
                </w:rPr>
                <w:t>（三）经费管理</w:t>
              </w:r>
            </w:sdtContent>
          </w:sdt>
          <w:r>
            <w:tab/>
          </w:r>
          <w:r>
            <w:t>3</w:t>
          </w:r>
          <w:r>
            <w:fldChar w:fldCharType="end"/>
          </w:r>
        </w:p>
        <w:p>
          <w:pPr>
            <w:pStyle w:val="12"/>
            <w:tabs>
              <w:tab w:val="right" w:leader="dot" w:pos="8306"/>
            </w:tabs>
          </w:pPr>
          <w:r>
            <w:fldChar w:fldCharType="begin"/>
          </w:r>
          <w:r>
            <w:instrText xml:space="preserve"> HYPERLINK \l _Toc5661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202d98ee-cefc-4a7d-899d-c2644207b3d5}"/>
              </w:placeholder>
            </w:sdtPr>
            <w:sdtEndPr>
              <w:rPr>
                <w:rFonts w:asciiTheme="minorHAnsi" w:hAnsiTheme="minorHAnsi" w:eastAsiaTheme="minorEastAsia" w:cstheme="minorBidi"/>
                <w:kern w:val="2"/>
                <w:sz w:val="21"/>
                <w:szCs w:val="24"/>
                <w:lang w:val="en-US" w:eastAsia="zh-CN" w:bidi="ar-SA"/>
              </w:rPr>
            </w:sdtEndPr>
            <w:sdtContent>
              <w:r>
                <w:rPr>
                  <w:rFonts w:hint="eastAsia" w:ascii="仿宋" w:hAnsi="仿宋" w:eastAsia="仿宋" w:cs="仿宋"/>
                </w:rPr>
                <w:t>（四）营造良好环境</w:t>
              </w:r>
            </w:sdtContent>
          </w:sdt>
          <w:r>
            <w:tab/>
          </w:r>
          <w:r>
            <w:t>3</w:t>
          </w:r>
          <w:r>
            <w:fldChar w:fldCharType="end"/>
          </w:r>
        </w:p>
        <w:p>
          <w:pPr>
            <w:pStyle w:val="11"/>
            <w:tabs>
              <w:tab w:val="right" w:leader="dot" w:pos="8306"/>
            </w:tabs>
          </w:pPr>
          <w:r>
            <w:rPr>
              <w:b/>
              <w:bCs/>
            </w:rPr>
            <w:fldChar w:fldCharType="begin"/>
          </w:r>
          <w:r>
            <w:instrText xml:space="preserve"> HYPERLINK \l _Toc5117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0b1cbcbd-2142-432c-b9f9-7adc1b575282}"/>
              </w:placeholder>
            </w:sdtPr>
            <w:sdtEndPr>
              <w:rPr>
                <w:rFonts w:asciiTheme="minorHAnsi" w:hAnsiTheme="minorHAnsi" w:eastAsiaTheme="minorEastAsia" w:cstheme="minorBidi"/>
                <w:b/>
                <w:bCs/>
                <w:kern w:val="2"/>
                <w:sz w:val="21"/>
                <w:szCs w:val="24"/>
                <w:lang w:val="en-US" w:eastAsia="zh-CN" w:bidi="ar-SA"/>
              </w:rPr>
            </w:sdtEndPr>
            <w:sdtContent>
              <w:r>
                <w:rPr>
                  <w:rFonts w:hint="eastAsia" w:ascii="仿宋_GB2312" w:eastAsia="仿宋_GB2312" w:hAnsiTheme="minorHAnsi" w:cstheme="minorBidi"/>
                  <w:b/>
                  <w:bCs/>
                </w:rPr>
                <w:t>三、工作进展</w:t>
              </w:r>
            </w:sdtContent>
          </w:sdt>
          <w:r>
            <w:rPr>
              <w:b/>
              <w:bCs/>
            </w:rPr>
            <w:tab/>
          </w:r>
          <w:r>
            <w:rPr>
              <w:b/>
              <w:bCs/>
            </w:rPr>
            <w:t>3</w:t>
          </w:r>
          <w:r>
            <w:rPr>
              <w:b/>
              <w:bCs/>
            </w:rPr>
            <w:fldChar w:fldCharType="end"/>
          </w:r>
        </w:p>
        <w:p>
          <w:pPr>
            <w:pStyle w:val="12"/>
            <w:tabs>
              <w:tab w:val="right" w:leader="dot" w:pos="8306"/>
            </w:tabs>
          </w:pPr>
          <w:r>
            <w:fldChar w:fldCharType="begin"/>
          </w:r>
          <w:r>
            <w:instrText xml:space="preserve"> HYPERLINK \l _Toc32288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cd03c49c-2f50-4fbb-8cf4-732d92ed5af0}"/>
              </w:placeholder>
            </w:sdtPr>
            <w:sdtEndPr>
              <w:rPr>
                <w:rFonts w:asciiTheme="minorHAnsi" w:hAnsiTheme="minorHAnsi" w:eastAsiaTheme="minorEastAsia" w:cstheme="minorBidi"/>
                <w:kern w:val="2"/>
                <w:sz w:val="21"/>
                <w:szCs w:val="24"/>
                <w:lang w:val="en-US" w:eastAsia="zh-CN" w:bidi="ar-SA"/>
              </w:rPr>
            </w:sdtEndPr>
            <w:sdtContent>
              <w:r>
                <w:rPr>
                  <w:rFonts w:ascii="仿宋_GB2312" w:eastAsia="仿宋_GB2312" w:hAnsiTheme="minorHAnsi" w:cstheme="minorBidi"/>
                </w:rPr>
                <w:t>（一）</w:t>
              </w:r>
              <w:r>
                <w:rPr>
                  <w:rFonts w:hint="eastAsia" w:ascii="仿宋_GB2312" w:eastAsia="仿宋_GB2312" w:hAnsiTheme="minorHAnsi" w:cstheme="minorBidi"/>
                </w:rPr>
                <w:t>扩大优质教育资源</w:t>
              </w:r>
            </w:sdtContent>
          </w:sdt>
          <w:r>
            <w:tab/>
          </w:r>
          <w:r>
            <w:t>3</w:t>
          </w:r>
          <w:r>
            <w:fldChar w:fldCharType="end"/>
          </w:r>
        </w:p>
        <w:p>
          <w:pPr>
            <w:pStyle w:val="12"/>
            <w:tabs>
              <w:tab w:val="right" w:leader="dot" w:pos="8306"/>
            </w:tabs>
          </w:pPr>
          <w:r>
            <w:fldChar w:fldCharType="begin"/>
          </w:r>
          <w:r>
            <w:instrText xml:space="preserve"> HYPERLINK \l _Toc18012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45d09fef-3a22-4a28-bc1f-0b7cf5a257f7}"/>
              </w:placeholder>
            </w:sdtPr>
            <w:sdtEndPr>
              <w:rPr>
                <w:rFonts w:asciiTheme="minorHAnsi" w:hAnsiTheme="minorHAnsi" w:eastAsiaTheme="minorEastAsia" w:cstheme="minorBidi"/>
                <w:kern w:val="2"/>
                <w:sz w:val="21"/>
                <w:szCs w:val="24"/>
                <w:lang w:val="en-US" w:eastAsia="zh-CN" w:bidi="ar-SA"/>
              </w:rPr>
            </w:sdtEndPr>
            <w:sdtContent>
              <w:r>
                <w:rPr>
                  <w:rFonts w:ascii="仿宋_GB2312" w:eastAsia="仿宋_GB2312" w:hAnsiTheme="minorHAnsi" w:cstheme="minorBidi"/>
                </w:rPr>
                <w:t>（二）</w:t>
              </w:r>
              <w:r>
                <w:rPr>
                  <w:rFonts w:hint="eastAsia" w:ascii="仿宋_GB2312" w:eastAsia="仿宋_GB2312" w:hAnsiTheme="minorHAnsi" w:cstheme="minorBidi"/>
                </w:rPr>
                <w:t>增强院校办学活力</w:t>
              </w:r>
            </w:sdtContent>
          </w:sdt>
          <w:r>
            <w:tab/>
          </w:r>
          <w:r>
            <w:t>4</w:t>
          </w:r>
          <w:r>
            <w:fldChar w:fldCharType="end"/>
          </w:r>
        </w:p>
        <w:p>
          <w:pPr>
            <w:pStyle w:val="12"/>
            <w:tabs>
              <w:tab w:val="right" w:leader="dot" w:pos="8306"/>
            </w:tabs>
          </w:pPr>
          <w:r>
            <w:fldChar w:fldCharType="begin"/>
          </w:r>
          <w:r>
            <w:instrText xml:space="preserve"> HYPERLINK \l _Toc1002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e47b3ed2-c732-4e90-b6e4-46aa19756f8d}"/>
              </w:placeholder>
            </w:sdtPr>
            <w:sdtEndPr>
              <w:rPr>
                <w:rFonts w:asciiTheme="minorHAnsi" w:hAnsiTheme="minorHAnsi" w:eastAsiaTheme="minorEastAsia" w:cstheme="minorBidi"/>
                <w:kern w:val="2"/>
                <w:sz w:val="21"/>
                <w:szCs w:val="24"/>
                <w:lang w:val="en-US" w:eastAsia="zh-CN" w:bidi="ar-SA"/>
              </w:rPr>
            </w:sdtEndPr>
            <w:sdtContent>
              <w:r>
                <w:rPr>
                  <w:rFonts w:ascii="仿宋_GB2312" w:eastAsia="仿宋_GB2312" w:hAnsiTheme="minorHAnsi" w:cstheme="minorBidi"/>
                </w:rPr>
                <w:t>（三）</w:t>
              </w:r>
              <w:r>
                <w:rPr>
                  <w:rFonts w:hint="eastAsia" w:ascii="仿宋_GB2312" w:eastAsia="仿宋_GB2312" w:hAnsiTheme="minorHAnsi" w:cstheme="minorBidi"/>
                </w:rPr>
                <w:t>增加技术技能积累</w:t>
              </w:r>
            </w:sdtContent>
          </w:sdt>
          <w:r>
            <w:tab/>
          </w:r>
          <w:r>
            <w:t>4</w:t>
          </w:r>
          <w:r>
            <w:fldChar w:fldCharType="end"/>
          </w:r>
        </w:p>
        <w:p>
          <w:pPr>
            <w:pStyle w:val="12"/>
            <w:tabs>
              <w:tab w:val="right" w:leader="dot" w:pos="8306"/>
            </w:tabs>
          </w:pPr>
          <w:r>
            <w:fldChar w:fldCharType="begin"/>
          </w:r>
          <w:r>
            <w:instrText xml:space="preserve"> HYPERLINK \l _Toc18925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57304fd7-453e-49de-ad77-ab3d353cd3cf}"/>
              </w:placeholder>
            </w:sdtPr>
            <w:sdtEndPr>
              <w:rPr>
                <w:rFonts w:asciiTheme="minorHAnsi" w:hAnsiTheme="minorHAnsi" w:eastAsiaTheme="minorEastAsia" w:cstheme="minorBidi"/>
                <w:kern w:val="2"/>
                <w:sz w:val="21"/>
                <w:szCs w:val="24"/>
                <w:lang w:val="en-US" w:eastAsia="zh-CN" w:bidi="ar-SA"/>
              </w:rPr>
            </w:sdtEndPr>
            <w:sdtContent>
              <w:r>
                <w:rPr>
                  <w:rFonts w:ascii="仿宋_GB2312" w:eastAsia="仿宋_GB2312" w:hAnsiTheme="minorHAnsi" w:cstheme="minorBidi"/>
                </w:rPr>
                <w:t>（四）</w:t>
              </w:r>
              <w:r>
                <w:rPr>
                  <w:rFonts w:hint="eastAsia" w:ascii="仿宋_GB2312" w:eastAsia="仿宋_GB2312" w:hAnsiTheme="minorHAnsi" w:cstheme="minorBidi"/>
                </w:rPr>
                <w:t>完善质量保障机制</w:t>
              </w:r>
            </w:sdtContent>
          </w:sdt>
          <w:r>
            <w:tab/>
          </w:r>
          <w:r>
            <w:t>4</w:t>
          </w:r>
          <w:r>
            <w:fldChar w:fldCharType="end"/>
          </w:r>
        </w:p>
        <w:p>
          <w:pPr>
            <w:pStyle w:val="12"/>
            <w:tabs>
              <w:tab w:val="right" w:leader="dot" w:pos="8306"/>
            </w:tabs>
          </w:pPr>
          <w:r>
            <w:fldChar w:fldCharType="begin"/>
          </w:r>
          <w:r>
            <w:instrText xml:space="preserve"> HYPERLINK \l _Toc30611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80fd190f-3f52-4978-81a9-cfc9768c85ec}"/>
              </w:placeholder>
            </w:sdtPr>
            <w:sdtEndPr>
              <w:rPr>
                <w:rFonts w:asciiTheme="minorHAnsi" w:hAnsiTheme="minorHAnsi" w:eastAsiaTheme="minorEastAsia" w:cstheme="minorBidi"/>
                <w:kern w:val="2"/>
                <w:sz w:val="21"/>
                <w:szCs w:val="24"/>
                <w:lang w:val="en-US" w:eastAsia="zh-CN" w:bidi="ar-SA"/>
              </w:rPr>
            </w:sdtEndPr>
            <w:sdtContent>
              <w:r>
                <w:rPr>
                  <w:rFonts w:ascii="仿宋_GB2312" w:eastAsia="仿宋_GB2312" w:hAnsiTheme="minorHAnsi" w:cstheme="minorBidi"/>
                </w:rPr>
                <w:t>（五）</w:t>
              </w:r>
              <w:r>
                <w:rPr>
                  <w:rFonts w:hint="eastAsia" w:ascii="仿宋_GB2312" w:eastAsia="仿宋_GB2312" w:hAnsiTheme="minorHAnsi" w:cstheme="minorBidi"/>
                </w:rPr>
                <w:t>提升思想政治教育质量</w:t>
              </w:r>
            </w:sdtContent>
          </w:sdt>
          <w:r>
            <w:tab/>
          </w:r>
          <w:r>
            <w:t>5</w:t>
          </w:r>
          <w:r>
            <w:fldChar w:fldCharType="end"/>
          </w:r>
        </w:p>
        <w:p>
          <w:pPr>
            <w:pStyle w:val="11"/>
            <w:tabs>
              <w:tab w:val="right" w:leader="dot" w:pos="8306"/>
            </w:tabs>
          </w:pPr>
          <w:r>
            <w:rPr>
              <w:b/>
              <w:bCs/>
            </w:rPr>
            <w:fldChar w:fldCharType="begin"/>
          </w:r>
          <w:r>
            <w:instrText xml:space="preserve"> HYPERLINK \l _Toc15493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ede938d8-9513-48c9-a7d6-b2aa08d94d10}"/>
              </w:placeholder>
            </w:sdtPr>
            <w:sdtEndPr>
              <w:rPr>
                <w:rFonts w:asciiTheme="minorHAnsi" w:hAnsiTheme="minorHAnsi" w:eastAsiaTheme="minorEastAsia" w:cstheme="minorBidi"/>
                <w:b/>
                <w:bCs/>
                <w:kern w:val="2"/>
                <w:sz w:val="21"/>
                <w:szCs w:val="24"/>
                <w:lang w:val="en-US" w:eastAsia="zh-CN" w:bidi="ar-SA"/>
              </w:rPr>
            </w:sdtEndPr>
            <w:sdtContent>
              <w:r>
                <w:rPr>
                  <w:rFonts w:ascii="仿宋_GB2312" w:eastAsia="仿宋_GB2312" w:hAnsiTheme="minorHAnsi" w:cstheme="minorBidi"/>
                  <w:b/>
                  <w:bCs/>
                </w:rPr>
                <w:t xml:space="preserve">四、 </w:t>
              </w:r>
              <w:r>
                <w:rPr>
                  <w:rFonts w:hint="eastAsia" w:ascii="仿宋_GB2312" w:eastAsia="仿宋_GB2312" w:hAnsiTheme="minorHAnsi" w:cstheme="minorBidi"/>
                  <w:b/>
                  <w:bCs/>
                </w:rPr>
                <w:t>经费投入情况</w:t>
              </w:r>
            </w:sdtContent>
          </w:sdt>
          <w:r>
            <w:rPr>
              <w:b/>
              <w:bCs/>
            </w:rPr>
            <w:tab/>
          </w:r>
          <w:r>
            <w:rPr>
              <w:b/>
              <w:bCs/>
            </w:rPr>
            <w:t>5</w:t>
          </w:r>
          <w:r>
            <w:rPr>
              <w:b/>
              <w:bCs/>
            </w:rPr>
            <w:fldChar w:fldCharType="end"/>
          </w:r>
        </w:p>
        <w:p>
          <w:pPr>
            <w:pStyle w:val="12"/>
            <w:tabs>
              <w:tab w:val="right" w:leader="dot" w:pos="8306"/>
            </w:tabs>
          </w:pPr>
          <w:r>
            <w:fldChar w:fldCharType="begin"/>
          </w:r>
          <w:r>
            <w:instrText xml:space="preserve"> HYPERLINK \l _Toc23857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42d05b83-d767-4db8-8ce7-eed4cee795e1}"/>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（一）项目经费投入情况</w:t>
              </w:r>
            </w:sdtContent>
          </w:sdt>
          <w:r>
            <w:tab/>
          </w:r>
          <w:r>
            <w:t>5</w:t>
          </w:r>
          <w:r>
            <w:fldChar w:fldCharType="end"/>
          </w:r>
        </w:p>
        <w:p>
          <w:pPr>
            <w:pStyle w:val="12"/>
            <w:tabs>
              <w:tab w:val="right" w:leader="dot" w:pos="8306"/>
            </w:tabs>
          </w:pPr>
          <w:r>
            <w:fldChar w:fldCharType="begin"/>
          </w:r>
          <w:r>
            <w:instrText xml:space="preserve"> HYPERLINK \l _Toc24852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63ceee8a-4d12-4836-9623-bc4f29b161d1}"/>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（二）任务经费投入情况</w:t>
              </w:r>
            </w:sdtContent>
          </w:sdt>
          <w:r>
            <w:tab/>
          </w:r>
          <w:r>
            <w:t>7</w:t>
          </w:r>
          <w:r>
            <w:fldChar w:fldCharType="end"/>
          </w:r>
        </w:p>
        <w:p>
          <w:pPr>
            <w:pStyle w:val="11"/>
            <w:tabs>
              <w:tab w:val="right" w:leader="dot" w:pos="8306"/>
            </w:tabs>
          </w:pPr>
          <w:r>
            <w:rPr>
              <w:b/>
              <w:bCs/>
            </w:rPr>
            <w:fldChar w:fldCharType="begin"/>
          </w:r>
          <w:r>
            <w:instrText xml:space="preserve"> HYPERLINK \l _Toc18017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e1317512-f5b4-4967-b632-69a54cbcf24c}"/>
              </w:placeholder>
            </w:sdtPr>
            <w:sdtEndPr>
              <w:rPr>
                <w:rFonts w:asciiTheme="minorHAnsi" w:hAnsiTheme="minorHAnsi" w:eastAsiaTheme="minorEastAsia" w:cstheme="minorBidi"/>
                <w:b/>
                <w:bCs/>
                <w:kern w:val="2"/>
                <w:sz w:val="21"/>
                <w:szCs w:val="24"/>
                <w:lang w:val="en-US" w:eastAsia="zh-CN" w:bidi="ar-SA"/>
              </w:rPr>
            </w:sdtEndPr>
            <w:sdtContent>
              <w:r>
                <w:rPr>
                  <w:rFonts w:hint="eastAsia" w:ascii="仿宋_GB2312" w:eastAsia="仿宋_GB2312" w:hAnsiTheme="minorHAnsi" w:cstheme="minorBidi"/>
                  <w:b/>
                  <w:bCs/>
                </w:rPr>
                <w:t>五、建设成效</w:t>
              </w:r>
            </w:sdtContent>
          </w:sdt>
          <w:r>
            <w:rPr>
              <w:b/>
              <w:bCs/>
            </w:rPr>
            <w:tab/>
          </w:r>
          <w:r>
            <w:rPr>
              <w:b/>
              <w:bCs/>
            </w:rPr>
            <w:t>8</w:t>
          </w:r>
          <w:r>
            <w:rPr>
              <w:b/>
              <w:bCs/>
            </w:rPr>
            <w:fldChar w:fldCharType="end"/>
          </w:r>
        </w:p>
        <w:p>
          <w:pPr>
            <w:pStyle w:val="12"/>
            <w:tabs>
              <w:tab w:val="right" w:leader="dot" w:pos="8306"/>
            </w:tabs>
          </w:pPr>
          <w:r>
            <w:fldChar w:fldCharType="begin"/>
          </w:r>
          <w:r>
            <w:instrText xml:space="preserve"> HYPERLINK \l _Toc7051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7188da96-957f-4eb0-b6d0-7c5d766e482e}"/>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（一）深化教学改革，扩大教育资源,建设协同创新发展中心</w:t>
              </w:r>
            </w:sdtContent>
          </w:sdt>
          <w:r>
            <w:tab/>
          </w:r>
          <w:r>
            <w:t>8</w:t>
          </w:r>
          <w:r>
            <w:fldChar w:fldCharType="end"/>
          </w:r>
        </w:p>
        <w:p>
          <w:pPr>
            <w:pStyle w:val="12"/>
            <w:tabs>
              <w:tab w:val="right" w:leader="dot" w:pos="8306"/>
            </w:tabs>
          </w:pPr>
          <w:r>
            <w:fldChar w:fldCharType="begin"/>
          </w:r>
          <w:r>
            <w:instrText xml:space="preserve"> HYPERLINK \l _Toc17675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3f4f5dcc-a70b-4b01-8e09-7dde8977a468}"/>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（二）紧密对接产业，建设学习驿站服务中心</w:t>
              </w:r>
            </w:sdtContent>
          </w:sdt>
          <w:r>
            <w:tab/>
          </w:r>
          <w:r>
            <w:t>10</w:t>
          </w:r>
          <w:r>
            <w:fldChar w:fldCharType="end"/>
          </w:r>
        </w:p>
        <w:p>
          <w:pPr>
            <w:pStyle w:val="12"/>
            <w:tabs>
              <w:tab w:val="right" w:leader="dot" w:pos="8306"/>
            </w:tabs>
          </w:pPr>
          <w:r>
            <w:fldChar w:fldCharType="begin"/>
          </w:r>
          <w:r>
            <w:instrText xml:space="preserve"> HYPERLINK \l _Toc25856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ba8733e5-d46c-44f8-811d-8ecff2952f87}"/>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（三）积极进行国际交流，提升国际影响力，建设国际交流中心</w:t>
              </w:r>
            </w:sdtContent>
          </w:sdt>
          <w:r>
            <w:tab/>
          </w:r>
          <w:r>
            <w:t>11</w:t>
          </w:r>
          <w:r>
            <w:fldChar w:fldCharType="end"/>
          </w:r>
        </w:p>
        <w:p>
          <w:pPr>
            <w:pStyle w:val="12"/>
            <w:tabs>
              <w:tab w:val="right" w:leader="dot" w:pos="8306"/>
            </w:tabs>
          </w:pPr>
          <w:r>
            <w:fldChar w:fldCharType="begin"/>
          </w:r>
          <w:r>
            <w:instrText xml:space="preserve"> HYPERLINK \l _Toc10617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26ccad3d-f9cd-44ca-9200-c69ee9fffd53}"/>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（四）增强社会服务能力，服务国家发展战略，建设社会需求服务中心</w:t>
              </w:r>
            </w:sdtContent>
          </w:sdt>
          <w:r>
            <w:tab/>
          </w:r>
          <w:r>
            <w:t>13</w:t>
          </w:r>
          <w:r>
            <w:fldChar w:fldCharType="end"/>
          </w:r>
        </w:p>
        <w:p>
          <w:pPr>
            <w:pStyle w:val="11"/>
            <w:tabs>
              <w:tab w:val="right" w:leader="dot" w:pos="8306"/>
            </w:tabs>
          </w:pPr>
          <w:r>
            <w:rPr>
              <w:b/>
              <w:bCs/>
            </w:rPr>
            <w:fldChar w:fldCharType="begin"/>
          </w:r>
          <w:r>
            <w:instrText xml:space="preserve"> HYPERLINK \l _Toc16885 </w:instrText>
          </w:r>
          <w:r>
            <w:rPr>
              <w:b/>
              <w:bCs/>
            </w:rPr>
            <w:fldChar w:fldCharType="separate"/>
          </w:r>
          <w:sdt>
            <w:sdtPr>
              <w:rPr>
                <w:rFonts w:asciiTheme="minorHAnsi" w:hAnsiTheme="minorHAnsi" w:eastAsiaTheme="minorEastAsia" w:cstheme="minorBidi"/>
                <w:b/>
                <w:bCs/>
                <w:kern w:val="2"/>
                <w:sz w:val="21"/>
                <w:szCs w:val="24"/>
                <w:lang w:val="en-US" w:eastAsia="zh-CN" w:bidi="ar-SA"/>
              </w:rPr>
              <w:id w:val="147476865"/>
              <w:placeholder>
                <w:docPart w:val="{13836d9b-c0e5-4c11-bf81-f235b6ff8469}"/>
              </w:placeholder>
            </w:sdtPr>
            <w:sdtEndPr>
              <w:rPr>
                <w:rFonts w:asciiTheme="minorHAnsi" w:hAnsiTheme="minorHAnsi" w:eastAsiaTheme="minorEastAsia" w:cstheme="minorBidi"/>
                <w:b/>
                <w:bCs/>
                <w:kern w:val="2"/>
                <w:sz w:val="21"/>
                <w:szCs w:val="24"/>
                <w:lang w:val="en-US" w:eastAsia="zh-CN" w:bidi="ar-SA"/>
              </w:rPr>
            </w:sdtEndPr>
            <w:sdtContent>
              <w:r>
                <w:rPr>
                  <w:rFonts w:hint="eastAsia" w:ascii="仿宋_GB2312" w:eastAsia="仿宋_GB2312" w:hAnsiTheme="minorHAnsi" w:cstheme="minorBidi"/>
                  <w:b/>
                  <w:bCs/>
                </w:rPr>
                <w:t>六、改进思路</w:t>
              </w:r>
            </w:sdtContent>
          </w:sdt>
          <w:r>
            <w:rPr>
              <w:b/>
              <w:bCs/>
            </w:rPr>
            <w:tab/>
          </w:r>
          <w:r>
            <w:rPr>
              <w:b/>
              <w:bCs/>
            </w:rPr>
            <w:t>14</w:t>
          </w:r>
          <w:r>
            <w:rPr>
              <w:b/>
              <w:bCs/>
            </w:rPr>
            <w:fldChar w:fldCharType="end"/>
          </w:r>
        </w:p>
        <w:p>
          <w:pPr>
            <w:pStyle w:val="12"/>
            <w:tabs>
              <w:tab w:val="right" w:leader="dot" w:pos="8306"/>
            </w:tabs>
          </w:pPr>
          <w:r>
            <w:fldChar w:fldCharType="begin"/>
          </w:r>
          <w:r>
            <w:instrText xml:space="preserve"> HYPERLINK \l _Toc3577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f377f9c6-5aa5-4ea7-a3c2-8476041a2f44}"/>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（一）加大执行力度</w:t>
              </w:r>
            </w:sdtContent>
          </w:sdt>
          <w:r>
            <w:tab/>
          </w:r>
          <w:r>
            <w:t>14</w:t>
          </w:r>
          <w:r>
            <w:fldChar w:fldCharType="end"/>
          </w:r>
        </w:p>
        <w:p>
          <w:pPr>
            <w:pStyle w:val="12"/>
            <w:tabs>
              <w:tab w:val="right" w:leader="dot" w:pos="8306"/>
            </w:tabs>
          </w:pPr>
          <w:r>
            <w:fldChar w:fldCharType="begin"/>
          </w:r>
          <w:r>
            <w:instrText xml:space="preserve"> HYPERLINK \l _Toc21493 </w:instrText>
          </w:r>
          <w:r>
            <w:fldChar w:fldCharType="separate"/>
          </w:r>
          <w:sdt>
            <w:sdtPr>
              <w:rPr>
                <w:rFonts w:asciiTheme="minorHAnsi" w:hAnsiTheme="minorHAnsi" w:eastAsiaTheme="minorEastAsia" w:cstheme="minorBidi"/>
                <w:kern w:val="2"/>
                <w:sz w:val="21"/>
                <w:szCs w:val="24"/>
                <w:lang w:val="en-US" w:eastAsia="zh-CN" w:bidi="ar-SA"/>
              </w:rPr>
              <w:id w:val="147476865"/>
              <w:placeholder>
                <w:docPart w:val="{3d033598-c558-4982-a06e-243f428b413b}"/>
              </w:placeholder>
            </w:sdtPr>
            <w:sdtEndPr>
              <w:rPr>
                <w:rFonts w:asciiTheme="minorHAnsi" w:hAnsiTheme="minorHAnsi" w:eastAsiaTheme="minorEastAsia" w:cstheme="minorBidi"/>
                <w:kern w:val="2"/>
                <w:sz w:val="21"/>
                <w:szCs w:val="24"/>
                <w:lang w:val="en-US" w:eastAsia="zh-CN" w:bidi="ar-SA"/>
              </w:rPr>
            </w:sdtEndPr>
            <w:sdtContent>
              <w:r>
                <w:rPr>
                  <w:rFonts w:hint="eastAsia" w:ascii="仿宋_GB2312" w:eastAsia="仿宋_GB2312" w:hAnsiTheme="minorHAnsi" w:cstheme="minorBidi"/>
                </w:rPr>
                <w:t>（二）强化过程监控</w:t>
              </w:r>
            </w:sdtContent>
          </w:sdt>
          <w:r>
            <w:tab/>
          </w:r>
          <w:r>
            <w:t>14</w:t>
          </w:r>
          <w:r>
            <w:fldChar w:fldCharType="end"/>
          </w:r>
        </w:p>
      </w:sdtContent>
    </w:sdt>
    <w:p>
      <w:pPr>
        <w:spacing w:before="468" w:beforeLines="150" w:after="156" w:afterLines="50"/>
        <w:jc w:val="center"/>
        <w:rPr>
          <w:rFonts w:ascii="仿宋" w:hAnsi="仿宋" w:eastAsia="仿宋" w:cs="仿宋"/>
          <w:b/>
          <w:bCs/>
          <w:sz w:val="30"/>
          <w:szCs w:val="30"/>
        </w:rPr>
      </w:pPr>
      <w:r>
        <w:rPr>
          <w:rFonts w:hint="eastAsia" w:ascii="仿宋" w:hAnsi="仿宋" w:eastAsia="仿宋" w:cs="仿宋"/>
          <w:b/>
          <w:bCs/>
          <w:sz w:val="30"/>
          <w:szCs w:val="30"/>
        </w:rPr>
        <w:br w:type="textWrapping"/>
      </w:r>
    </w:p>
    <w:p>
      <w:pPr>
        <w:spacing w:after="156" w:afterLines="50"/>
        <w:jc w:val="center"/>
        <w:rPr>
          <w:rFonts w:ascii="仿宋" w:hAnsi="仿宋" w:eastAsia="仿宋" w:cs="仿宋"/>
          <w:b/>
          <w:bCs/>
          <w:sz w:val="30"/>
          <w:szCs w:val="30"/>
        </w:rPr>
        <w:sectPr>
          <w:footerReference r:id="rId4" w:type="default"/>
          <w:pgSz w:w="11906" w:h="16838"/>
          <w:pgMar w:top="1440" w:right="1800" w:bottom="1440" w:left="1800" w:header="851" w:footer="992" w:gutter="0"/>
          <w:pgNumType w:start="1"/>
          <w:cols w:space="425" w:num="1"/>
          <w:docGrid w:type="lines" w:linePitch="312" w:charSpace="0"/>
        </w:sectPr>
      </w:pPr>
      <w:bookmarkStart w:id="4" w:name="_Toc4636"/>
    </w:p>
    <w:p>
      <w:pPr>
        <w:spacing w:after="156" w:afterLines="50"/>
        <w:jc w:val="center"/>
        <w:rPr>
          <w:rFonts w:ascii="仿宋" w:hAnsi="仿宋" w:eastAsia="仿宋" w:cs="仿宋"/>
          <w:b/>
          <w:bCs/>
          <w:sz w:val="30"/>
          <w:szCs w:val="30"/>
        </w:rPr>
      </w:pPr>
    </w:p>
    <w:p>
      <w:pPr>
        <w:spacing w:after="156" w:afterLines="50"/>
        <w:jc w:val="center"/>
        <w:rPr>
          <w:rFonts w:ascii="仿宋" w:hAnsi="仿宋" w:eastAsia="仿宋" w:cs="仿宋"/>
          <w:b/>
          <w:bCs/>
          <w:sz w:val="30"/>
          <w:szCs w:val="30"/>
        </w:rPr>
      </w:pPr>
      <w:bookmarkStart w:id="5" w:name="_Toc31506"/>
      <w:bookmarkStart w:id="6" w:name="_Toc11787"/>
      <w:bookmarkStart w:id="7" w:name="_Toc6407"/>
      <w:r>
        <w:rPr>
          <w:rFonts w:hint="eastAsia" w:ascii="仿宋" w:hAnsi="仿宋" w:eastAsia="仿宋" w:cs="仿宋"/>
          <w:b/>
          <w:bCs/>
          <w:sz w:val="30"/>
          <w:szCs w:val="30"/>
        </w:rPr>
        <w:t>创新发展行动计划2017年度绩效报告</w:t>
      </w:r>
      <w:bookmarkEnd w:id="0"/>
      <w:bookmarkEnd w:id="1"/>
      <w:bookmarkEnd w:id="2"/>
      <w:bookmarkEnd w:id="3"/>
      <w:bookmarkEnd w:id="4"/>
      <w:bookmarkEnd w:id="5"/>
      <w:bookmarkEnd w:id="6"/>
      <w:bookmarkEnd w:id="7"/>
    </w:p>
    <w:p>
      <w:pPr>
        <w:ind w:firstLine="560" w:firstLineChars="200"/>
        <w:rPr>
          <w:rFonts w:ascii="仿宋_GB2312" w:eastAsia="仿宋_GB2312"/>
          <w:sz w:val="28"/>
          <w:szCs w:val="28"/>
        </w:rPr>
      </w:pPr>
      <w:r>
        <w:rPr>
          <w:rFonts w:hint="eastAsia" w:ascii="仿宋_GB2312" w:eastAsia="仿宋_GB2312"/>
          <w:sz w:val="28"/>
          <w:szCs w:val="28"/>
        </w:rPr>
        <w:t>根据教育部职成司《关于开展&lt;高等职业教育创新发展行动计划（2015-2018年）2017年度执行绩效数据采集工作的通知》要求（教职成司函〔2017〕113号），参照《高等职业教育创新发展行动计划（2015-2018年）》绩效采集要点，学校组织各项目（任务）承接部门进行2017年度绩效采集，并系统总结2017年度工作进展及建设成效，撰写年度绩效总报告，具体建设情况如下：</w:t>
      </w:r>
    </w:p>
    <w:p>
      <w:pPr>
        <w:ind w:firstLine="562" w:firstLineChars="200"/>
        <w:outlineLvl w:val="0"/>
        <w:rPr>
          <w:rFonts w:ascii="宋体" w:hAnsi="宋体"/>
          <w:b/>
          <w:bCs/>
          <w:color w:val="808080"/>
          <w:sz w:val="28"/>
          <w:szCs w:val="28"/>
        </w:rPr>
      </w:pPr>
      <w:bookmarkStart w:id="8" w:name="_Toc27274"/>
      <w:bookmarkStart w:id="9" w:name="_Toc13010"/>
      <w:bookmarkStart w:id="10" w:name="_Toc12198"/>
      <w:bookmarkStart w:id="11" w:name="_Toc24239"/>
      <w:bookmarkStart w:id="12" w:name="_Toc16694"/>
      <w:bookmarkStart w:id="13" w:name="_Toc9145"/>
      <w:bookmarkStart w:id="14" w:name="_Toc12584"/>
      <w:bookmarkStart w:id="15" w:name="_Toc17644"/>
      <w:bookmarkStart w:id="190" w:name="_GoBack"/>
      <w:bookmarkEnd w:id="190"/>
      <w:r>
        <w:rPr>
          <w:rFonts w:hint="eastAsia" w:ascii="仿宋_GB2312" w:eastAsia="仿宋_GB2312"/>
          <w:b/>
          <w:bCs/>
          <w:sz w:val="28"/>
          <w:szCs w:val="28"/>
        </w:rPr>
        <w:t>一、项目（任务）基本概况</w:t>
      </w:r>
      <w:bookmarkEnd w:id="8"/>
      <w:bookmarkEnd w:id="9"/>
      <w:bookmarkEnd w:id="10"/>
      <w:bookmarkEnd w:id="11"/>
      <w:bookmarkEnd w:id="12"/>
      <w:bookmarkEnd w:id="13"/>
      <w:bookmarkEnd w:id="14"/>
      <w:bookmarkEnd w:id="15"/>
    </w:p>
    <w:p>
      <w:pPr>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根据《上海市高等职业教育创新发展行动计划（2015-2018年实</w:t>
      </w:r>
    </w:p>
    <w:p>
      <w:pP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施方案》（沪教委高〔2016〕8号），学校围绕“5个着力”，主动承担了34个任务、12个大项目（包含30个项目），具体承担内容如表1所示：</w:t>
      </w:r>
    </w:p>
    <w:p>
      <w:pPr>
        <w:spacing w:after="156" w:afterLines="50"/>
        <w:jc w:val="center"/>
        <w:rPr>
          <w:rFonts w:ascii="仿宋" w:hAnsi="仿宋" w:eastAsia="仿宋" w:cs="仿宋"/>
          <w:color w:val="000000" w:themeColor="text1"/>
          <w:sz w:val="24"/>
          <w14:textFill>
            <w14:solidFill>
              <w14:schemeClr w14:val="tx1"/>
            </w14:solidFill>
          </w14:textFill>
        </w:rPr>
      </w:pPr>
      <w:bookmarkStart w:id="16" w:name="_Toc19539"/>
      <w:bookmarkStart w:id="17" w:name="_Toc9947"/>
      <w:bookmarkStart w:id="18" w:name="_Toc30752"/>
      <w:bookmarkStart w:id="19" w:name="_Toc3005"/>
      <w:bookmarkStart w:id="20" w:name="_Toc3224"/>
      <w:bookmarkStart w:id="21" w:name="_Toc21328"/>
      <w:bookmarkStart w:id="22" w:name="_Toc21310"/>
      <w:bookmarkStart w:id="23" w:name="_Toc10915"/>
      <w:r>
        <w:rPr>
          <w:rFonts w:hint="eastAsia" w:ascii="仿宋" w:hAnsi="仿宋" w:eastAsia="仿宋" w:cs="仿宋"/>
          <w:color w:val="000000" w:themeColor="text1"/>
          <w:sz w:val="24"/>
          <w14:textFill>
            <w14:solidFill>
              <w14:schemeClr w14:val="tx1"/>
            </w14:solidFill>
          </w14:textFill>
        </w:rPr>
        <w:t>表1 项目（任务）一览表</w:t>
      </w:r>
      <w:bookmarkEnd w:id="16"/>
      <w:bookmarkEnd w:id="17"/>
      <w:bookmarkEnd w:id="18"/>
      <w:bookmarkEnd w:id="19"/>
      <w:bookmarkEnd w:id="20"/>
      <w:bookmarkEnd w:id="21"/>
      <w:bookmarkEnd w:id="22"/>
      <w:bookmarkEnd w:id="23"/>
    </w:p>
    <w:tbl>
      <w:tblPr>
        <w:tblStyle w:val="8"/>
        <w:tblW w:w="85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1635"/>
        <w:gridCol w:w="5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2" w:hRule="atLeast"/>
          <w:tblHeader/>
          <w:jc w:val="center"/>
        </w:trPr>
        <w:tc>
          <w:tcPr>
            <w:tcW w:w="992" w:type="dxa"/>
            <w:tcMar>
              <w:top w:w="54" w:type="dxa"/>
              <w:left w:w="144" w:type="dxa"/>
              <w:bottom w:w="54" w:type="dxa"/>
              <w:right w:w="144" w:type="dxa"/>
            </w:tcMar>
            <w:vAlign w:val="center"/>
          </w:tcPr>
          <w:p>
            <w:pPr>
              <w:jc w:val="center"/>
              <w:rPr>
                <w:rFonts w:ascii="仿宋" w:hAnsi="仿宋" w:eastAsia="仿宋" w:cs="仿宋"/>
                <w:sz w:val="28"/>
                <w:szCs w:val="28"/>
              </w:rPr>
            </w:pPr>
            <w:r>
              <w:rPr>
                <w:rFonts w:hint="eastAsia" w:ascii="仿宋" w:hAnsi="仿宋" w:eastAsia="仿宋" w:cs="仿宋"/>
                <w:b/>
                <w:bCs/>
                <w:sz w:val="28"/>
                <w:szCs w:val="28"/>
              </w:rPr>
              <w:t>内容</w:t>
            </w:r>
          </w:p>
        </w:tc>
        <w:tc>
          <w:tcPr>
            <w:tcW w:w="1635" w:type="dxa"/>
            <w:tcMar>
              <w:top w:w="54" w:type="dxa"/>
              <w:left w:w="144" w:type="dxa"/>
              <w:bottom w:w="54" w:type="dxa"/>
              <w:right w:w="144" w:type="dxa"/>
            </w:tcMar>
            <w:vAlign w:val="center"/>
          </w:tcPr>
          <w:p>
            <w:pPr>
              <w:jc w:val="center"/>
              <w:rPr>
                <w:rFonts w:ascii="仿宋" w:hAnsi="仿宋" w:eastAsia="仿宋" w:cs="仿宋"/>
                <w:sz w:val="28"/>
                <w:szCs w:val="28"/>
              </w:rPr>
            </w:pPr>
            <w:r>
              <w:rPr>
                <w:rFonts w:hint="eastAsia" w:ascii="仿宋" w:hAnsi="仿宋" w:eastAsia="仿宋" w:cs="仿宋"/>
                <w:b/>
                <w:bCs/>
                <w:sz w:val="28"/>
                <w:szCs w:val="28"/>
              </w:rPr>
              <w:t>数量</w:t>
            </w:r>
          </w:p>
        </w:tc>
        <w:tc>
          <w:tcPr>
            <w:tcW w:w="5881" w:type="dxa"/>
            <w:tcMar>
              <w:top w:w="54" w:type="dxa"/>
              <w:left w:w="144" w:type="dxa"/>
              <w:bottom w:w="54" w:type="dxa"/>
              <w:right w:w="144" w:type="dxa"/>
            </w:tcMar>
            <w:vAlign w:val="center"/>
          </w:tcPr>
          <w:p>
            <w:pPr>
              <w:jc w:val="center"/>
              <w:rPr>
                <w:rFonts w:ascii="仿宋" w:hAnsi="仿宋" w:eastAsia="仿宋" w:cs="仿宋"/>
                <w:sz w:val="28"/>
                <w:szCs w:val="28"/>
              </w:rPr>
            </w:pPr>
            <w:r>
              <w:rPr>
                <w:rFonts w:hint="eastAsia" w:ascii="仿宋" w:hAnsi="仿宋" w:eastAsia="仿宋" w:cs="仿宋"/>
                <w:b/>
                <w:bCs/>
                <w:sz w:val="28"/>
                <w:szCs w:val="28"/>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73" w:hRule="atLeast"/>
          <w:jc w:val="center"/>
        </w:trPr>
        <w:tc>
          <w:tcPr>
            <w:tcW w:w="992" w:type="dxa"/>
            <w:tcMar>
              <w:top w:w="54" w:type="dxa"/>
              <w:left w:w="144" w:type="dxa"/>
              <w:bottom w:w="54" w:type="dxa"/>
              <w:right w:w="144" w:type="dxa"/>
            </w:tcMar>
            <w:vAlign w:val="center"/>
          </w:tcPr>
          <w:p>
            <w:pPr>
              <w:jc w:val="center"/>
              <w:rPr>
                <w:rFonts w:ascii="仿宋" w:hAnsi="仿宋" w:eastAsia="仿宋" w:cs="仿宋"/>
                <w:sz w:val="24"/>
              </w:rPr>
            </w:pPr>
            <w:r>
              <w:rPr>
                <w:rFonts w:hint="eastAsia" w:ascii="仿宋" w:hAnsi="仿宋" w:eastAsia="仿宋" w:cs="仿宋"/>
                <w:sz w:val="24"/>
              </w:rPr>
              <w:t>任务</w:t>
            </w:r>
          </w:p>
        </w:tc>
        <w:tc>
          <w:tcPr>
            <w:tcW w:w="1635" w:type="dxa"/>
            <w:tcMar>
              <w:top w:w="54" w:type="dxa"/>
              <w:left w:w="144" w:type="dxa"/>
              <w:bottom w:w="54" w:type="dxa"/>
              <w:right w:w="144" w:type="dxa"/>
            </w:tcMar>
            <w:vAlign w:val="center"/>
          </w:tcPr>
          <w:p>
            <w:pPr>
              <w:jc w:val="center"/>
              <w:rPr>
                <w:rFonts w:ascii="仿宋" w:hAnsi="仿宋" w:eastAsia="仿宋" w:cs="仿宋"/>
                <w:sz w:val="24"/>
              </w:rPr>
            </w:pPr>
            <w:r>
              <w:rPr>
                <w:rFonts w:hint="eastAsia" w:ascii="仿宋" w:hAnsi="仿宋" w:eastAsia="仿宋" w:cs="仿宋"/>
                <w:sz w:val="24"/>
              </w:rPr>
              <w:t>34项</w:t>
            </w:r>
          </w:p>
        </w:tc>
        <w:tc>
          <w:tcPr>
            <w:tcW w:w="5881" w:type="dxa"/>
            <w:tcMar>
              <w:top w:w="54" w:type="dxa"/>
              <w:left w:w="144" w:type="dxa"/>
              <w:bottom w:w="54" w:type="dxa"/>
              <w:right w:w="144" w:type="dxa"/>
            </w:tcMar>
            <w:vAlign w:val="center"/>
          </w:tcPr>
          <w:p>
            <w:pPr>
              <w:rPr>
                <w:rFonts w:ascii="仿宋" w:hAnsi="仿宋" w:eastAsia="仿宋" w:cs="仿宋"/>
                <w:sz w:val="24"/>
              </w:rPr>
            </w:pPr>
            <w:r>
              <w:rPr>
                <w:rFonts w:hint="eastAsia" w:ascii="仿宋" w:hAnsi="仿宋" w:eastAsia="仿宋" w:cs="仿宋"/>
                <w:sz w:val="24"/>
              </w:rPr>
              <w:t>RW-01、RW-02、RW-03、RW-05、RW-06、RW-07、RW-09、RW-11、RW-12、RW-21、RW-28、RW-35、RW-37、RW-38、RW-40、RW-41、RW-42、RW-43、RW-44、RW-48、RW-50、RW-51、RW-53、RW-55、RW-56、RW-57、RW-58、RW-59、RW-60、RW-61、RW-62、RW-63、RW-64、RW-65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78" w:hRule="atLeast"/>
          <w:jc w:val="center"/>
        </w:trPr>
        <w:tc>
          <w:tcPr>
            <w:tcW w:w="992" w:type="dxa"/>
            <w:tcMar>
              <w:top w:w="54" w:type="dxa"/>
              <w:left w:w="144" w:type="dxa"/>
              <w:bottom w:w="54" w:type="dxa"/>
              <w:right w:w="144" w:type="dxa"/>
            </w:tcMar>
            <w:vAlign w:val="center"/>
          </w:tcPr>
          <w:p>
            <w:pPr>
              <w:jc w:val="center"/>
              <w:rPr>
                <w:rFonts w:ascii="仿宋" w:hAnsi="仿宋" w:eastAsia="仿宋" w:cs="仿宋"/>
                <w:sz w:val="24"/>
              </w:rPr>
            </w:pPr>
            <w:r>
              <w:rPr>
                <w:rFonts w:hint="eastAsia" w:ascii="仿宋" w:hAnsi="仿宋" w:eastAsia="仿宋" w:cs="仿宋"/>
                <w:sz w:val="24"/>
              </w:rPr>
              <w:t>项目</w:t>
            </w:r>
          </w:p>
        </w:tc>
        <w:tc>
          <w:tcPr>
            <w:tcW w:w="1635" w:type="dxa"/>
            <w:tcMar>
              <w:top w:w="54" w:type="dxa"/>
              <w:left w:w="144" w:type="dxa"/>
              <w:bottom w:w="54" w:type="dxa"/>
              <w:right w:w="144" w:type="dxa"/>
            </w:tcMar>
            <w:vAlign w:val="center"/>
          </w:tcPr>
          <w:p>
            <w:pPr>
              <w:rPr>
                <w:rFonts w:ascii="仿宋" w:hAnsi="仿宋" w:eastAsia="仿宋" w:cs="仿宋"/>
                <w:sz w:val="24"/>
              </w:rPr>
            </w:pPr>
            <w:r>
              <w:rPr>
                <w:rFonts w:hint="eastAsia" w:ascii="仿宋" w:hAnsi="仿宋" w:eastAsia="仿宋" w:cs="仿宋"/>
                <w:sz w:val="24"/>
              </w:rPr>
              <w:t>12个大项目（包含30个小项目）</w:t>
            </w:r>
          </w:p>
        </w:tc>
        <w:tc>
          <w:tcPr>
            <w:tcW w:w="5881" w:type="dxa"/>
            <w:tcMar>
              <w:top w:w="54" w:type="dxa"/>
              <w:left w:w="144" w:type="dxa"/>
              <w:bottom w:w="54" w:type="dxa"/>
              <w:right w:w="144" w:type="dxa"/>
            </w:tcMar>
            <w:vAlign w:val="center"/>
          </w:tcPr>
          <w:p>
            <w:pPr>
              <w:rPr>
                <w:rFonts w:ascii="仿宋" w:hAnsi="仿宋" w:eastAsia="仿宋" w:cs="仿宋"/>
                <w:sz w:val="24"/>
              </w:rPr>
            </w:pPr>
            <w:r>
              <w:rPr>
                <w:rFonts w:hint="eastAsia" w:ascii="仿宋" w:hAnsi="仿宋" w:eastAsia="仿宋" w:cs="仿宋"/>
                <w:sz w:val="24"/>
              </w:rPr>
              <w:t>XM-01、XM-02、</w:t>
            </w:r>
            <w:r>
              <w:rPr>
                <w:rFonts w:hint="eastAsia" w:ascii="仿宋" w:hAnsi="仿宋" w:eastAsia="仿宋" w:cs="仿宋"/>
                <w:bCs/>
                <w:sz w:val="24"/>
              </w:rPr>
              <w:t>XM-03</w:t>
            </w:r>
            <w:r>
              <w:rPr>
                <w:rFonts w:hint="eastAsia" w:ascii="仿宋" w:hAnsi="仿宋" w:eastAsia="仿宋" w:cs="仿宋"/>
                <w:sz w:val="24"/>
              </w:rPr>
              <w:t>、XM-04、XM-06、XM-07、XM-08、XM-10、XM-15、XM-16、XM-17、XM-18</w:t>
            </w:r>
          </w:p>
        </w:tc>
      </w:tr>
    </w:tbl>
    <w:p>
      <w:pPr>
        <w:spacing w:before="156" w:beforeLines="50"/>
        <w:ind w:firstLine="560" w:firstLineChars="200"/>
        <w:rPr>
          <w:rFonts w:ascii="仿宋_GB2312" w:eastAsia="仿宋_GB2312"/>
          <w:sz w:val="28"/>
          <w:szCs w:val="28"/>
        </w:rPr>
      </w:pPr>
      <w:r>
        <w:rPr>
          <w:rFonts w:hint="eastAsia" w:ascii="仿宋_GB2312" w:eastAsia="仿宋_GB2312"/>
          <w:sz w:val="28"/>
          <w:szCs w:val="28"/>
        </w:rPr>
        <w:t>学校在现有的项目条件基础上，以34个任务、12个大项目（包含30个项目）为引领，力求通过三年的建设，努力探索高等职业教育的发展模式和运行机制，促进学校办学定位与地方经济社会发展的深度融合，提高教育教学质量、增强学校整体实力。同时，通过项目（任务）建设，建成协同创新发展中心、国际交流合作中心、学习驿站服务中心、社会需求服务中心，努力将学校打造成上海一流、全国知名、面向国际的电子信息类优质专科高职院校。服务中国制造2025、“一带一路”倡议的国家战略，推动现代职业教育体系的日臻完善。</w:t>
      </w:r>
    </w:p>
    <w:p>
      <w:pPr>
        <w:ind w:left="420" w:leftChars="200"/>
        <w:outlineLvl w:val="0"/>
        <w:rPr>
          <w:rFonts w:ascii="仿宋_GB2312" w:eastAsia="仿宋_GB2312"/>
          <w:b/>
          <w:bCs/>
          <w:sz w:val="28"/>
          <w:szCs w:val="28"/>
        </w:rPr>
      </w:pPr>
      <w:bookmarkStart w:id="24" w:name="_Toc12033"/>
      <w:bookmarkStart w:id="25" w:name="_Toc13525"/>
      <w:bookmarkStart w:id="26" w:name="_Toc5736"/>
      <w:bookmarkStart w:id="27" w:name="_Toc6684"/>
      <w:bookmarkStart w:id="28" w:name="_Toc20956"/>
      <w:bookmarkStart w:id="29" w:name="_Toc30577"/>
      <w:bookmarkStart w:id="30" w:name="_Toc2419"/>
      <w:bookmarkStart w:id="31" w:name="_Toc25384"/>
      <w:r>
        <w:rPr>
          <w:rFonts w:hint="eastAsia" w:ascii="仿宋_GB2312" w:eastAsia="仿宋_GB2312"/>
          <w:b/>
          <w:bCs/>
          <w:sz w:val="28"/>
          <w:szCs w:val="28"/>
        </w:rPr>
        <w:t>二、工作保障</w:t>
      </w:r>
      <w:bookmarkEnd w:id="24"/>
      <w:bookmarkEnd w:id="25"/>
      <w:bookmarkEnd w:id="26"/>
      <w:bookmarkEnd w:id="27"/>
      <w:bookmarkEnd w:id="28"/>
      <w:bookmarkEnd w:id="29"/>
      <w:bookmarkEnd w:id="30"/>
      <w:bookmarkEnd w:id="31"/>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为保证2017年度项目（任务）工作的有效开展，学校强化了对项目（任务）的过程管理，积极落实组织、经费等保障措施，提供坚实的保障条件。</w:t>
      </w:r>
    </w:p>
    <w:p>
      <w:pPr>
        <w:spacing w:line="360" w:lineRule="auto"/>
        <w:ind w:firstLine="560" w:firstLineChars="200"/>
        <w:outlineLvl w:val="1"/>
        <w:rPr>
          <w:rFonts w:ascii="仿宋" w:hAnsi="仿宋" w:eastAsia="仿宋" w:cs="仿宋"/>
          <w:sz w:val="28"/>
          <w:szCs w:val="28"/>
        </w:rPr>
      </w:pPr>
      <w:bookmarkStart w:id="32" w:name="_Toc10357"/>
      <w:bookmarkStart w:id="33" w:name="_Toc5996"/>
      <w:bookmarkStart w:id="34" w:name="_Toc387"/>
      <w:bookmarkStart w:id="35" w:name="_Toc31124"/>
      <w:bookmarkStart w:id="36" w:name="_Toc21051"/>
      <w:bookmarkStart w:id="37" w:name="_Toc8373"/>
      <w:bookmarkStart w:id="38" w:name="_Toc10330"/>
      <w:bookmarkStart w:id="39" w:name="_Toc22669"/>
      <w:r>
        <w:rPr>
          <w:rFonts w:hint="eastAsia" w:ascii="仿宋" w:hAnsi="仿宋" w:eastAsia="仿宋" w:cs="仿宋"/>
          <w:sz w:val="28"/>
          <w:szCs w:val="28"/>
        </w:rPr>
        <w:t>（一）加强组织领导</w:t>
      </w:r>
      <w:bookmarkEnd w:id="32"/>
      <w:bookmarkEnd w:id="33"/>
      <w:bookmarkEnd w:id="34"/>
      <w:bookmarkEnd w:id="35"/>
      <w:bookmarkEnd w:id="36"/>
      <w:bookmarkEnd w:id="37"/>
      <w:bookmarkEnd w:id="38"/>
      <w:bookmarkEnd w:id="39"/>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学校成立项目领导小组，组长由校长担任，组员由学校党政领导组成，全面领导、规划和考核实施情况。成立若干工作小组，组长由相关分管副校长担任，组员由各二级学院及相关职能部门组成，负责对行动计划进行项目分解，按要求实施具体项目。各二级学院及职能部门明确职责，以保障项目（任务）的顺利实施。</w:t>
      </w:r>
      <w:bookmarkStart w:id="40" w:name="_Toc27375"/>
      <w:bookmarkStart w:id="41" w:name="_Toc12021"/>
    </w:p>
    <w:p>
      <w:pPr>
        <w:spacing w:line="360" w:lineRule="auto"/>
        <w:ind w:firstLine="560" w:firstLineChars="200"/>
        <w:outlineLvl w:val="1"/>
        <w:rPr>
          <w:rFonts w:ascii="仿宋" w:hAnsi="仿宋" w:eastAsia="仿宋" w:cs="仿宋"/>
          <w:sz w:val="28"/>
          <w:szCs w:val="28"/>
        </w:rPr>
      </w:pPr>
      <w:bookmarkStart w:id="42" w:name="_Toc18449"/>
      <w:bookmarkStart w:id="43" w:name="_Toc12095"/>
      <w:bookmarkStart w:id="44" w:name="_Toc13041"/>
      <w:bookmarkStart w:id="45" w:name="_Toc28199"/>
      <w:bookmarkStart w:id="46" w:name="_Toc9813"/>
      <w:bookmarkStart w:id="47" w:name="_Toc11571"/>
      <w:r>
        <w:rPr>
          <w:rFonts w:hint="eastAsia" w:ascii="仿宋" w:hAnsi="仿宋" w:eastAsia="仿宋" w:cs="仿宋"/>
          <w:sz w:val="28"/>
          <w:szCs w:val="28"/>
        </w:rPr>
        <w:t>（二）强化管理督查</w:t>
      </w:r>
      <w:bookmarkEnd w:id="40"/>
      <w:bookmarkEnd w:id="41"/>
      <w:bookmarkEnd w:id="42"/>
      <w:bookmarkEnd w:id="43"/>
      <w:bookmarkEnd w:id="44"/>
      <w:bookmarkEnd w:id="45"/>
      <w:bookmarkEnd w:id="46"/>
      <w:bookmarkEnd w:id="47"/>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实行项目管理，建立健全管理制度，明确管理的责任单位，使行动计划的执行有组织、制度保证。同时，加强监督，各二级学院及职能部门加强日常指导、检查与跟踪。</w:t>
      </w:r>
    </w:p>
    <w:p>
      <w:pPr>
        <w:spacing w:line="360" w:lineRule="auto"/>
        <w:ind w:firstLine="560" w:firstLineChars="200"/>
        <w:outlineLvl w:val="1"/>
        <w:rPr>
          <w:rFonts w:ascii="仿宋" w:hAnsi="仿宋" w:eastAsia="仿宋" w:cs="仿宋"/>
          <w:sz w:val="28"/>
          <w:szCs w:val="28"/>
        </w:rPr>
      </w:pPr>
      <w:bookmarkStart w:id="48" w:name="_Toc25636"/>
      <w:bookmarkStart w:id="49" w:name="_Toc29850"/>
      <w:bookmarkStart w:id="50" w:name="_Toc31854"/>
      <w:bookmarkStart w:id="51" w:name="_Toc11844"/>
      <w:bookmarkStart w:id="52" w:name="_Toc28645"/>
      <w:bookmarkStart w:id="53" w:name="_Toc23396"/>
      <w:bookmarkStart w:id="54" w:name="_Toc3733"/>
      <w:bookmarkStart w:id="55" w:name="_Toc4543"/>
      <w:r>
        <w:rPr>
          <w:rFonts w:hint="eastAsia" w:ascii="仿宋" w:hAnsi="仿宋" w:eastAsia="仿宋" w:cs="仿宋"/>
          <w:sz w:val="28"/>
          <w:szCs w:val="28"/>
        </w:rPr>
        <w:t>（三）经费</w:t>
      </w:r>
      <w:bookmarkEnd w:id="48"/>
      <w:bookmarkEnd w:id="49"/>
      <w:bookmarkEnd w:id="50"/>
      <w:bookmarkEnd w:id="51"/>
      <w:bookmarkEnd w:id="52"/>
      <w:bookmarkEnd w:id="53"/>
      <w:r>
        <w:rPr>
          <w:rFonts w:hint="eastAsia" w:ascii="仿宋" w:hAnsi="仿宋" w:eastAsia="仿宋" w:cs="仿宋"/>
          <w:sz w:val="28"/>
          <w:szCs w:val="28"/>
        </w:rPr>
        <w:t>管理</w:t>
      </w:r>
      <w:bookmarkEnd w:id="54"/>
      <w:bookmarkEnd w:id="55"/>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建立严格的项目资金管理制度和监控制度，制订详细的分项目、分年度资金使用计划，开展预算管理，做到专款专用，严格按照《上海电子信息职业技术学院内涵建设和市级项目资金管理办法》沪电信职院〔2014〕86号执行。并成立项目建设监察审计小组，健全财务管理制度，专款专用，确保建设经费的使用成效。</w:t>
      </w:r>
    </w:p>
    <w:p>
      <w:pPr>
        <w:spacing w:line="360" w:lineRule="auto"/>
        <w:ind w:firstLine="560" w:firstLineChars="200"/>
        <w:outlineLvl w:val="1"/>
        <w:rPr>
          <w:rFonts w:ascii="仿宋" w:hAnsi="仿宋" w:eastAsia="仿宋" w:cs="仿宋"/>
          <w:sz w:val="28"/>
          <w:szCs w:val="28"/>
        </w:rPr>
      </w:pPr>
      <w:bookmarkStart w:id="56" w:name="_Toc28716"/>
      <w:bookmarkStart w:id="57" w:name="_Toc32004"/>
      <w:bookmarkStart w:id="58" w:name="_Toc2361"/>
      <w:bookmarkStart w:id="59" w:name="_Toc11802"/>
      <w:bookmarkStart w:id="60" w:name="_Toc746"/>
      <w:bookmarkStart w:id="61" w:name="_Toc16125"/>
      <w:bookmarkStart w:id="62" w:name="_Toc11228"/>
      <w:bookmarkStart w:id="63" w:name="_Toc5661"/>
      <w:r>
        <w:rPr>
          <w:rFonts w:hint="eastAsia" w:ascii="仿宋" w:hAnsi="仿宋" w:eastAsia="仿宋" w:cs="仿宋"/>
          <w:sz w:val="28"/>
          <w:szCs w:val="28"/>
        </w:rPr>
        <w:t>（四）营造良好环境</w:t>
      </w:r>
      <w:bookmarkEnd w:id="56"/>
      <w:bookmarkEnd w:id="57"/>
      <w:bookmarkEnd w:id="58"/>
      <w:bookmarkEnd w:id="59"/>
      <w:bookmarkEnd w:id="60"/>
      <w:bookmarkEnd w:id="61"/>
      <w:bookmarkEnd w:id="62"/>
      <w:bookmarkEnd w:id="63"/>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学校根据实际需要和自身的管理办法，执行项目（任务）管理办法，开展宣传活动，定期检查项目（任务）工作；</w:t>
      </w:r>
      <w:r>
        <w:rPr>
          <w:rFonts w:hint="eastAsia" w:ascii="仿宋_GB2312" w:eastAsia="仿宋_GB2312"/>
          <w:sz w:val="28"/>
          <w:szCs w:val="28"/>
        </w:rPr>
        <w:t>通过学校内外部宣传平台，广泛宣传创新行动计划政策、文件，引导全校对创新行动计划的重视，扩大行动计划在校内外的影响力，</w:t>
      </w:r>
      <w:r>
        <w:rPr>
          <w:rFonts w:hint="eastAsia" w:ascii="仿宋" w:hAnsi="仿宋" w:eastAsia="仿宋" w:cs="仿宋"/>
          <w:sz w:val="28"/>
          <w:szCs w:val="28"/>
        </w:rPr>
        <w:t>保证2017年度</w:t>
      </w:r>
      <w:r>
        <w:rPr>
          <w:rFonts w:hint="eastAsia" w:ascii="仿宋_GB2312" w:eastAsia="仿宋_GB2312"/>
          <w:sz w:val="28"/>
          <w:szCs w:val="28"/>
        </w:rPr>
        <w:t>项目（任务）的</w:t>
      </w:r>
      <w:r>
        <w:rPr>
          <w:rFonts w:hint="eastAsia" w:ascii="仿宋" w:hAnsi="仿宋" w:eastAsia="仿宋" w:cs="仿宋"/>
          <w:sz w:val="28"/>
          <w:szCs w:val="28"/>
        </w:rPr>
        <w:t>顺利实施。</w:t>
      </w:r>
    </w:p>
    <w:p>
      <w:pPr>
        <w:ind w:firstLine="562" w:firstLineChars="200"/>
        <w:outlineLvl w:val="0"/>
        <w:rPr>
          <w:rFonts w:ascii="仿宋_GB2312" w:eastAsia="仿宋_GB2312"/>
          <w:b/>
          <w:bCs/>
          <w:sz w:val="28"/>
          <w:szCs w:val="28"/>
        </w:rPr>
      </w:pPr>
      <w:bookmarkStart w:id="64" w:name="_Toc27860"/>
      <w:bookmarkStart w:id="65" w:name="_Toc13479"/>
      <w:bookmarkStart w:id="66" w:name="_Toc30724"/>
      <w:bookmarkStart w:id="67" w:name="_Toc11698"/>
      <w:bookmarkStart w:id="68" w:name="_Toc1758"/>
      <w:bookmarkStart w:id="69" w:name="_Toc1751"/>
      <w:bookmarkStart w:id="70" w:name="_Toc25222"/>
      <w:bookmarkStart w:id="71" w:name="_Toc5117"/>
      <w:r>
        <w:rPr>
          <w:rFonts w:hint="eastAsia" w:ascii="仿宋_GB2312" w:eastAsia="仿宋_GB2312"/>
          <w:b/>
          <w:bCs/>
          <w:sz w:val="28"/>
          <w:szCs w:val="28"/>
        </w:rPr>
        <w:t>三、工作进展</w:t>
      </w:r>
      <w:bookmarkEnd w:id="64"/>
      <w:bookmarkEnd w:id="65"/>
      <w:bookmarkEnd w:id="66"/>
      <w:bookmarkEnd w:id="67"/>
      <w:bookmarkEnd w:id="68"/>
      <w:bookmarkEnd w:id="69"/>
      <w:bookmarkEnd w:id="70"/>
      <w:bookmarkEnd w:id="71"/>
    </w:p>
    <w:p>
      <w:pPr>
        <w:ind w:firstLine="560" w:firstLineChars="200"/>
        <w:rPr>
          <w:rFonts w:ascii="仿宋_GB2312" w:eastAsia="仿宋_GB2312"/>
          <w:sz w:val="28"/>
          <w:szCs w:val="28"/>
        </w:rPr>
      </w:pPr>
      <w:r>
        <w:rPr>
          <w:rFonts w:hint="eastAsia" w:ascii="仿宋_GB2312" w:eastAsia="仿宋_GB2312"/>
          <w:sz w:val="28"/>
          <w:szCs w:val="28"/>
        </w:rPr>
        <w:t>2017年度，各项目（任务）承担部门制定科学合理的实施方案，以项目（任务）为抓手，以问题为导向，坚持统筹协调和过程控制，逐项落实相关工作。各项目（任务）2017年度工作进展如下：</w:t>
      </w:r>
    </w:p>
    <w:p>
      <w:pPr>
        <w:numPr>
          <w:ilvl w:val="0"/>
          <w:numId w:val="1"/>
        </w:numPr>
        <w:ind w:firstLine="560"/>
        <w:outlineLvl w:val="1"/>
        <w:rPr>
          <w:rFonts w:ascii="仿宋_GB2312" w:eastAsia="仿宋_GB2312"/>
          <w:sz w:val="28"/>
          <w:szCs w:val="28"/>
        </w:rPr>
      </w:pPr>
      <w:bookmarkStart w:id="72" w:name="_Toc21903"/>
      <w:bookmarkStart w:id="73" w:name="_Toc4375"/>
      <w:bookmarkStart w:id="74" w:name="_Toc11153"/>
      <w:bookmarkStart w:id="75" w:name="_Toc32388"/>
      <w:bookmarkStart w:id="76" w:name="_Toc10958"/>
      <w:bookmarkStart w:id="77" w:name="_Toc710"/>
      <w:bookmarkStart w:id="78" w:name="_Toc22092"/>
      <w:bookmarkStart w:id="79" w:name="_Toc32288"/>
      <w:r>
        <w:rPr>
          <w:rFonts w:hint="eastAsia" w:ascii="仿宋_GB2312" w:eastAsia="仿宋_GB2312"/>
          <w:sz w:val="28"/>
          <w:szCs w:val="28"/>
        </w:rPr>
        <w:t>扩大优质教育资源</w:t>
      </w:r>
      <w:bookmarkEnd w:id="72"/>
      <w:bookmarkEnd w:id="73"/>
      <w:bookmarkEnd w:id="74"/>
      <w:bookmarkEnd w:id="75"/>
      <w:bookmarkEnd w:id="76"/>
      <w:bookmarkEnd w:id="77"/>
      <w:bookmarkEnd w:id="78"/>
      <w:bookmarkEnd w:id="79"/>
    </w:p>
    <w:p>
      <w:pPr>
        <w:ind w:firstLine="560" w:firstLineChars="200"/>
        <w:rPr>
          <w:rFonts w:ascii="仿宋_GB2312" w:eastAsia="仿宋_GB2312"/>
          <w:sz w:val="28"/>
          <w:szCs w:val="28"/>
        </w:rPr>
      </w:pPr>
      <w:r>
        <w:rPr>
          <w:rFonts w:hint="eastAsia" w:ascii="仿宋_GB2312" w:eastAsia="仿宋_GB2312"/>
          <w:sz w:val="28"/>
          <w:szCs w:val="28"/>
        </w:rPr>
        <w:t>相关项目（任务）建设中，通过骨干专业建设，如智能控制技术、通信技术等骨干专业建设，进一步明确了专业的发展方向，改善实训条件，深化教学改革；引进境外优质资源，探索中外合作办学的新途径、新模式。健全绩效管理制度和专兼职教师培训制度，加强兼职教师队伍建设。</w:t>
      </w:r>
    </w:p>
    <w:p>
      <w:pPr>
        <w:numPr>
          <w:ilvl w:val="0"/>
          <w:numId w:val="1"/>
        </w:numPr>
        <w:ind w:firstLine="560"/>
        <w:outlineLvl w:val="1"/>
        <w:rPr>
          <w:rFonts w:ascii="仿宋_GB2312" w:eastAsia="仿宋_GB2312"/>
          <w:sz w:val="28"/>
          <w:szCs w:val="28"/>
        </w:rPr>
      </w:pPr>
      <w:bookmarkStart w:id="80" w:name="_Toc22952"/>
      <w:bookmarkStart w:id="81" w:name="_Toc20370"/>
      <w:bookmarkStart w:id="82" w:name="_Toc17111"/>
      <w:bookmarkStart w:id="83" w:name="_Toc31730"/>
      <w:bookmarkStart w:id="84" w:name="_Toc23037"/>
      <w:bookmarkStart w:id="85" w:name="_Toc18012"/>
      <w:bookmarkStart w:id="86" w:name="_Toc5862"/>
      <w:bookmarkStart w:id="87" w:name="_Toc13272"/>
      <w:r>
        <w:rPr>
          <w:rFonts w:hint="eastAsia" w:ascii="仿宋_GB2312" w:eastAsia="仿宋_GB2312"/>
          <w:sz w:val="28"/>
          <w:szCs w:val="28"/>
        </w:rPr>
        <w:t>增强院校办学活力</w:t>
      </w:r>
      <w:bookmarkEnd w:id="80"/>
      <w:bookmarkEnd w:id="81"/>
      <w:bookmarkEnd w:id="82"/>
      <w:bookmarkEnd w:id="83"/>
      <w:bookmarkEnd w:id="84"/>
      <w:bookmarkEnd w:id="85"/>
      <w:bookmarkEnd w:id="86"/>
      <w:bookmarkEnd w:id="87"/>
    </w:p>
    <w:p>
      <w:pPr>
        <w:ind w:firstLine="560" w:firstLineChars="200"/>
        <w:rPr>
          <w:rFonts w:ascii="仿宋_GB2312" w:eastAsia="仿宋_GB2312"/>
          <w:sz w:val="28"/>
          <w:szCs w:val="28"/>
        </w:rPr>
      </w:pPr>
      <w:r>
        <w:rPr>
          <w:rFonts w:hint="eastAsia" w:ascii="仿宋_GB2312" w:eastAsia="仿宋_GB2312"/>
          <w:sz w:val="28"/>
          <w:szCs w:val="28"/>
        </w:rPr>
        <w:t>相关项目（任务）建设中，建立以学分为基本单位的学习成果认定积累制度。服务社区教育和终身学习，发挥教育资源优势，向社区开放服务，发展多样化的职工继续教育与培训，如2017年6月5日—2017年6月9日，为广东骏马精密工业有限公司提供员工培训，为期5天，共培训18人。</w:t>
      </w:r>
    </w:p>
    <w:p>
      <w:pPr>
        <w:numPr>
          <w:ilvl w:val="0"/>
          <w:numId w:val="1"/>
        </w:numPr>
        <w:ind w:firstLine="560"/>
        <w:outlineLvl w:val="1"/>
        <w:rPr>
          <w:rFonts w:ascii="仿宋_GB2312" w:eastAsia="仿宋_GB2312"/>
          <w:sz w:val="28"/>
          <w:szCs w:val="28"/>
        </w:rPr>
      </w:pPr>
      <w:bookmarkStart w:id="88" w:name="_Toc31646"/>
      <w:bookmarkStart w:id="89" w:name="_Toc9440"/>
      <w:bookmarkStart w:id="90" w:name="_Toc3547"/>
      <w:bookmarkStart w:id="91" w:name="_Toc7735"/>
      <w:bookmarkStart w:id="92" w:name="_Toc1002"/>
      <w:bookmarkStart w:id="93" w:name="_Toc7612"/>
      <w:bookmarkStart w:id="94" w:name="_Toc11009"/>
      <w:bookmarkStart w:id="95" w:name="_Toc16202"/>
      <w:r>
        <w:rPr>
          <w:rFonts w:hint="eastAsia" w:ascii="仿宋_GB2312" w:eastAsia="仿宋_GB2312"/>
          <w:sz w:val="28"/>
          <w:szCs w:val="28"/>
        </w:rPr>
        <w:t>增加技术技能积累</w:t>
      </w:r>
      <w:bookmarkEnd w:id="88"/>
      <w:bookmarkEnd w:id="89"/>
      <w:bookmarkEnd w:id="90"/>
      <w:bookmarkEnd w:id="91"/>
      <w:bookmarkEnd w:id="92"/>
      <w:bookmarkEnd w:id="93"/>
      <w:bookmarkEnd w:id="94"/>
      <w:bookmarkEnd w:id="95"/>
    </w:p>
    <w:p>
      <w:pPr>
        <w:ind w:firstLine="560"/>
        <w:rPr>
          <w:rFonts w:ascii="仿宋_GB2312" w:eastAsia="仿宋_GB2312"/>
          <w:sz w:val="28"/>
          <w:szCs w:val="28"/>
        </w:rPr>
      </w:pPr>
      <w:r>
        <w:rPr>
          <w:rFonts w:hint="eastAsia" w:ascii="仿宋_GB2312" w:eastAsia="仿宋_GB2312"/>
          <w:sz w:val="28"/>
          <w:szCs w:val="28"/>
        </w:rPr>
        <w:t>相关项目（任务）的建设过程中，发挥学校的专业优势，将学校建设为区域内技术技能积累的资源集聚地，扩大与“一带一路”沿线国家和地区的职业教育合作，如新疆喀什地区中等职业学校。与当地企业合作办学、合作育人、合作发展，指导当地院校以现代学徒制培养为主的特色学院和应用技术协同创新中心建设。加强创业创新教育，将学生的创新意识培养和创新思维养成融入教育教学全过程，促进专业教育与创新创业教育有机融合。开展现代学徒制人才培养，如开设微电子技术、数字媒体应用技术等2个专业的现代学徒制试点。</w:t>
      </w:r>
    </w:p>
    <w:p>
      <w:pPr>
        <w:numPr>
          <w:ilvl w:val="0"/>
          <w:numId w:val="1"/>
        </w:numPr>
        <w:ind w:firstLine="560"/>
        <w:outlineLvl w:val="1"/>
        <w:rPr>
          <w:rFonts w:ascii="仿宋_GB2312" w:eastAsia="仿宋_GB2312"/>
          <w:sz w:val="28"/>
          <w:szCs w:val="28"/>
        </w:rPr>
      </w:pPr>
      <w:bookmarkStart w:id="96" w:name="_Toc6885"/>
      <w:bookmarkStart w:id="97" w:name="_Toc18925"/>
      <w:bookmarkStart w:id="98" w:name="_Toc29326"/>
      <w:bookmarkStart w:id="99" w:name="_Toc28563"/>
      <w:bookmarkStart w:id="100" w:name="_Toc17314"/>
      <w:bookmarkStart w:id="101" w:name="_Toc6300"/>
      <w:bookmarkStart w:id="102" w:name="_Toc19865"/>
      <w:bookmarkStart w:id="103" w:name="_Toc26493"/>
      <w:r>
        <w:rPr>
          <w:rFonts w:hint="eastAsia" w:ascii="仿宋_GB2312" w:eastAsia="仿宋_GB2312"/>
          <w:sz w:val="28"/>
          <w:szCs w:val="28"/>
        </w:rPr>
        <w:t>完善质量保障机制</w:t>
      </w:r>
      <w:bookmarkEnd w:id="96"/>
      <w:bookmarkEnd w:id="97"/>
      <w:bookmarkEnd w:id="98"/>
      <w:bookmarkEnd w:id="99"/>
      <w:bookmarkEnd w:id="100"/>
      <w:bookmarkEnd w:id="101"/>
      <w:bookmarkEnd w:id="102"/>
      <w:bookmarkEnd w:id="103"/>
    </w:p>
    <w:p>
      <w:pPr>
        <w:ind w:firstLine="560"/>
        <w:rPr>
          <w:rFonts w:ascii="仿宋_GB2312" w:eastAsia="仿宋_GB2312"/>
          <w:sz w:val="28"/>
          <w:szCs w:val="28"/>
        </w:rPr>
      </w:pPr>
      <w:r>
        <w:rPr>
          <w:rFonts w:hint="eastAsia" w:ascii="仿宋_GB2312" w:eastAsia="仿宋_GB2312"/>
          <w:sz w:val="28"/>
          <w:szCs w:val="28"/>
        </w:rPr>
        <w:t>与质量保障相关的项目（任务）建设中，建立健全依法自主管理、民主监督、社会参与的治理结构；以项目（任务）为引领，以学校人才培养工作状态数据为基础，开展教学诊断和改进；改善学校教师分类管理、分类评价的人事管理制度，加强相关理论研究；加强职业教育科研机构建设，开展热点难点问题、教育教学改革和相关标准建设研究；提高经费保障水平：落实生均拨款政策，建立多渠道筹资机制。</w:t>
      </w:r>
    </w:p>
    <w:p>
      <w:pPr>
        <w:numPr>
          <w:ilvl w:val="0"/>
          <w:numId w:val="1"/>
        </w:numPr>
        <w:ind w:firstLine="560"/>
        <w:outlineLvl w:val="1"/>
        <w:rPr>
          <w:rFonts w:ascii="仿宋_GB2312" w:eastAsia="仿宋_GB2312"/>
          <w:sz w:val="28"/>
          <w:szCs w:val="28"/>
        </w:rPr>
      </w:pPr>
      <w:bookmarkStart w:id="104" w:name="_Toc4015"/>
      <w:bookmarkStart w:id="105" w:name="_Toc5346"/>
      <w:bookmarkStart w:id="106" w:name="_Toc17397"/>
      <w:bookmarkStart w:id="107" w:name="_Toc22552"/>
      <w:bookmarkStart w:id="108" w:name="_Toc9499"/>
      <w:bookmarkStart w:id="109" w:name="_Toc30611"/>
      <w:bookmarkStart w:id="110" w:name="_Toc6167"/>
      <w:bookmarkStart w:id="111" w:name="_Toc2347"/>
      <w:r>
        <w:rPr>
          <w:rFonts w:hint="eastAsia" w:ascii="仿宋_GB2312" w:eastAsia="仿宋_GB2312"/>
          <w:sz w:val="28"/>
          <w:szCs w:val="28"/>
        </w:rPr>
        <w:t>提升思想政治教育质量</w:t>
      </w:r>
      <w:bookmarkEnd w:id="104"/>
      <w:bookmarkEnd w:id="105"/>
      <w:bookmarkEnd w:id="106"/>
      <w:bookmarkEnd w:id="107"/>
      <w:bookmarkEnd w:id="108"/>
      <w:bookmarkEnd w:id="109"/>
      <w:bookmarkEnd w:id="110"/>
      <w:bookmarkEnd w:id="111"/>
    </w:p>
    <w:p>
      <w:pPr>
        <w:ind w:firstLine="560" w:firstLineChars="200"/>
        <w:rPr>
          <w:rFonts w:ascii="仿宋_GB2312" w:eastAsia="仿宋_GB2312"/>
          <w:sz w:val="28"/>
          <w:szCs w:val="28"/>
        </w:rPr>
      </w:pPr>
      <w:r>
        <w:rPr>
          <w:rFonts w:hint="eastAsia" w:ascii="仿宋_GB2312" w:eastAsia="仿宋_GB2312"/>
          <w:sz w:val="28"/>
          <w:szCs w:val="28"/>
        </w:rPr>
        <w:t>思想政治相关的项目（任务）建设中，将中国特色社会主义和中国梦融入项目（任务），促进职业技能培养与职业精神的融合，坚持知识学习、技能培养与品德修养的统一，将人文素养和职业素质教育融入人才培养方案。</w:t>
      </w:r>
    </w:p>
    <w:p>
      <w:pPr>
        <w:numPr>
          <w:ilvl w:val="0"/>
          <w:numId w:val="2"/>
        </w:numPr>
        <w:ind w:firstLine="562" w:firstLineChars="200"/>
        <w:outlineLvl w:val="0"/>
        <w:rPr>
          <w:rFonts w:ascii="仿宋_GB2312" w:eastAsia="仿宋_GB2312"/>
          <w:b/>
          <w:bCs/>
          <w:sz w:val="28"/>
          <w:szCs w:val="28"/>
        </w:rPr>
      </w:pPr>
      <w:bookmarkStart w:id="112" w:name="_Toc15493"/>
      <w:bookmarkStart w:id="113" w:name="_Toc16863"/>
      <w:bookmarkStart w:id="114" w:name="_Toc11570"/>
      <w:bookmarkStart w:id="115" w:name="_Toc23184"/>
      <w:bookmarkStart w:id="116" w:name="_Toc8233"/>
      <w:bookmarkStart w:id="117" w:name="_Toc21930"/>
      <w:bookmarkStart w:id="118" w:name="_Toc18497"/>
      <w:r>
        <w:rPr>
          <w:rFonts w:hint="eastAsia" w:ascii="仿宋_GB2312" w:eastAsia="仿宋_GB2312"/>
          <w:b/>
          <w:bCs/>
          <w:sz w:val="28"/>
          <w:szCs w:val="28"/>
        </w:rPr>
        <w:t>经费投入情况</w:t>
      </w:r>
      <w:bookmarkEnd w:id="112"/>
      <w:bookmarkEnd w:id="113"/>
      <w:bookmarkEnd w:id="114"/>
      <w:bookmarkEnd w:id="115"/>
      <w:bookmarkEnd w:id="116"/>
      <w:bookmarkEnd w:id="117"/>
      <w:bookmarkEnd w:id="118"/>
    </w:p>
    <w:p>
      <w:pPr>
        <w:ind w:firstLine="560"/>
        <w:rPr>
          <w:rFonts w:ascii="仿宋_GB2312" w:eastAsia="仿宋_GB2312"/>
          <w:sz w:val="28"/>
          <w:szCs w:val="28"/>
        </w:rPr>
      </w:pPr>
      <w:r>
        <w:rPr>
          <w:rFonts w:hint="eastAsia" w:ascii="仿宋_GB2312" w:eastAsia="仿宋_GB2312"/>
          <w:sz w:val="28"/>
          <w:szCs w:val="28"/>
        </w:rPr>
        <w:t>2017年度实际投入经费总计</w:t>
      </w:r>
      <w:r>
        <w:rPr>
          <w:rFonts w:hint="eastAsia" w:ascii="仿宋" w:hAnsi="仿宋" w:eastAsia="仿宋" w:cs="仿宋"/>
          <w:bCs/>
          <w:color w:val="000000"/>
          <w:kern w:val="0"/>
          <w:sz w:val="28"/>
          <w:szCs w:val="28"/>
        </w:rPr>
        <w:t>2995.504</w:t>
      </w:r>
      <w:r>
        <w:rPr>
          <w:rFonts w:hint="eastAsia" w:ascii="仿宋_GB2312" w:eastAsia="仿宋_GB2312"/>
          <w:sz w:val="28"/>
          <w:szCs w:val="28"/>
        </w:rPr>
        <w:t xml:space="preserve">万。其中项目经费总投入为851.2万元，任务经费总投入为2144.304万元。以下分项目和任务，对经费投入情况进行汇总。  </w:t>
      </w:r>
    </w:p>
    <w:p>
      <w:pPr>
        <w:spacing w:before="156" w:beforeLines="50" w:after="156" w:afterLines="50"/>
        <w:outlineLvl w:val="1"/>
        <w:rPr>
          <w:rFonts w:ascii="仿宋_GB2312" w:eastAsia="仿宋_GB2312"/>
          <w:sz w:val="28"/>
          <w:szCs w:val="28"/>
        </w:rPr>
      </w:pPr>
      <w:bookmarkStart w:id="119" w:name="_Toc11248"/>
      <w:bookmarkStart w:id="120" w:name="_Toc986"/>
      <w:bookmarkStart w:id="121" w:name="_Toc15302"/>
      <w:bookmarkStart w:id="122" w:name="_Toc6863"/>
      <w:bookmarkStart w:id="123" w:name="_Toc4033"/>
      <w:bookmarkStart w:id="124" w:name="_Toc2030"/>
      <w:bookmarkStart w:id="125" w:name="_Toc23857"/>
      <w:r>
        <w:rPr>
          <w:rFonts w:hint="eastAsia" w:ascii="仿宋_GB2312" w:eastAsia="仿宋_GB2312"/>
          <w:sz w:val="28"/>
          <w:szCs w:val="28"/>
        </w:rPr>
        <w:t>（一）项目经费投入情况</w:t>
      </w:r>
      <w:bookmarkEnd w:id="119"/>
      <w:bookmarkEnd w:id="120"/>
      <w:bookmarkEnd w:id="121"/>
      <w:bookmarkEnd w:id="122"/>
      <w:bookmarkEnd w:id="123"/>
      <w:bookmarkEnd w:id="124"/>
      <w:bookmarkEnd w:id="125"/>
    </w:p>
    <w:p>
      <w:pPr>
        <w:spacing w:before="156" w:beforeLines="50" w:after="156" w:afterLines="50"/>
        <w:jc w:val="center"/>
        <w:rPr>
          <w:rFonts w:ascii="仿宋_GB2312" w:eastAsia="仿宋_GB2312"/>
          <w:b/>
          <w:bCs/>
          <w:sz w:val="28"/>
          <w:szCs w:val="28"/>
        </w:rPr>
      </w:pPr>
      <w:r>
        <w:rPr>
          <w:rFonts w:hint="eastAsia" w:ascii="仿宋_GB2312" w:eastAsia="仿宋_GB2312"/>
          <w:b/>
          <w:bCs/>
          <w:sz w:val="28"/>
          <w:szCs w:val="28"/>
        </w:rPr>
        <w:t>2017年度项目经费投入情况统计表</w:t>
      </w:r>
    </w:p>
    <w:p>
      <w:pPr>
        <w:spacing w:before="156" w:beforeLines="50" w:after="156" w:afterLines="50"/>
        <w:jc w:val="right"/>
        <w:rPr>
          <w:rFonts w:ascii="仿宋_GB2312" w:eastAsia="仿宋_GB2312"/>
          <w:b/>
          <w:bCs/>
          <w:sz w:val="24"/>
        </w:rPr>
      </w:pPr>
      <w:r>
        <w:rPr>
          <w:rFonts w:hint="eastAsia" w:ascii="仿宋_GB2312" w:eastAsia="仿宋_GB2312"/>
          <w:b/>
          <w:bCs/>
          <w:sz w:val="24"/>
        </w:rPr>
        <w:t>单位：万元</w:t>
      </w:r>
    </w:p>
    <w:tbl>
      <w:tblPr>
        <w:tblStyle w:val="8"/>
        <w:tblW w:w="8741" w:type="dxa"/>
        <w:tblInd w:w="-362" w:type="dxa"/>
        <w:tblLayout w:type="fixed"/>
        <w:tblCellMar>
          <w:top w:w="15" w:type="dxa"/>
          <w:left w:w="15" w:type="dxa"/>
          <w:bottom w:w="15" w:type="dxa"/>
          <w:right w:w="15" w:type="dxa"/>
        </w:tblCellMar>
      </w:tblPr>
      <w:tblGrid>
        <w:gridCol w:w="555"/>
        <w:gridCol w:w="1382"/>
        <w:gridCol w:w="4110"/>
        <w:gridCol w:w="709"/>
        <w:gridCol w:w="992"/>
        <w:gridCol w:w="993"/>
      </w:tblGrid>
      <w:tr>
        <w:tblPrEx>
          <w:tblLayout w:type="fixed"/>
          <w:tblCellMar>
            <w:top w:w="15" w:type="dxa"/>
            <w:left w:w="15" w:type="dxa"/>
            <w:bottom w:w="15" w:type="dxa"/>
            <w:right w:w="15" w:type="dxa"/>
          </w:tblCellMar>
        </w:tblPrEx>
        <w:trPr>
          <w:trHeight w:val="405" w:hRule="atLeast"/>
          <w:tblHeader/>
        </w:trPr>
        <w:tc>
          <w:tcPr>
            <w:tcW w:w="5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序号</w:t>
            </w:r>
          </w:p>
        </w:tc>
        <w:tc>
          <w:tcPr>
            <w:tcW w:w="54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项目信息</w:t>
            </w:r>
          </w:p>
        </w:tc>
        <w:tc>
          <w:tcPr>
            <w:tcW w:w="269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2017年度</w:t>
            </w:r>
            <w:r>
              <w:rPr>
                <w:rStyle w:val="13"/>
                <w:rFonts w:hint="default" w:ascii="仿宋" w:hAnsi="仿宋" w:eastAsia="仿宋" w:cs="仿宋"/>
              </w:rPr>
              <w:t>项目经费</w:t>
            </w:r>
          </w:p>
        </w:tc>
      </w:tr>
      <w:tr>
        <w:tblPrEx>
          <w:tblLayout w:type="fixed"/>
          <w:tblCellMar>
            <w:top w:w="15" w:type="dxa"/>
            <w:left w:w="15" w:type="dxa"/>
            <w:bottom w:w="15" w:type="dxa"/>
            <w:right w:w="15" w:type="dxa"/>
          </w:tblCellMar>
        </w:tblPrEx>
        <w:trPr>
          <w:trHeight w:val="405" w:hRule="atLeast"/>
          <w:tblHeader/>
        </w:trPr>
        <w:tc>
          <w:tcPr>
            <w:tcW w:w="5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b/>
                <w:color w:val="000000"/>
                <w:szCs w:val="21"/>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编号</w:t>
            </w:r>
          </w:p>
        </w:tc>
        <w:tc>
          <w:tcPr>
            <w:tcW w:w="411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名称</w:t>
            </w:r>
          </w:p>
        </w:tc>
        <w:tc>
          <w:tcPr>
            <w:tcW w:w="70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小计</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财政专项</w:t>
            </w:r>
          </w:p>
        </w:tc>
        <w:tc>
          <w:tcPr>
            <w:tcW w:w="99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学校经费</w:t>
            </w:r>
          </w:p>
        </w:tc>
      </w:tr>
      <w:tr>
        <w:tblPrEx>
          <w:tblLayout w:type="fixed"/>
          <w:tblCellMar>
            <w:top w:w="15" w:type="dxa"/>
            <w:left w:w="15" w:type="dxa"/>
            <w:bottom w:w="15" w:type="dxa"/>
            <w:right w:w="15" w:type="dxa"/>
          </w:tblCellMar>
        </w:tblPrEx>
        <w:trPr>
          <w:trHeight w:val="540" w:hRule="atLeast"/>
        </w:trPr>
        <w:tc>
          <w:tcPr>
            <w:tcW w:w="55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138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XM-01-C01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智能控制技术骨干专业建设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XM-01-C02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通信技术骨干专业建设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XM-01-C03</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物联网工程技术骨干专业建设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XM-01-C04</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工业机器人技术骨干专业建设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37.57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27.57</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XM-01-C05</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机电一体化技术（中德合作）骨干专业建设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88</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r>
      <w:tr>
        <w:tblPrEx>
          <w:tblLayout w:type="fixed"/>
          <w:tblCellMar>
            <w:top w:w="15" w:type="dxa"/>
            <w:left w:w="15" w:type="dxa"/>
            <w:bottom w:w="15" w:type="dxa"/>
            <w:right w:w="15" w:type="dxa"/>
          </w:tblCellMar>
        </w:tblPrEx>
        <w:trPr>
          <w:trHeight w:val="8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XM-02-C01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智能电子产品专业测试校企共建的生产性实训基地建设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35</w:t>
            </w:r>
          </w:p>
        </w:tc>
      </w:tr>
      <w:tr>
        <w:tblPrEx>
          <w:tblLayout w:type="fixed"/>
          <w:tblCellMar>
            <w:top w:w="15" w:type="dxa"/>
            <w:left w:w="15" w:type="dxa"/>
            <w:bottom w:w="15" w:type="dxa"/>
            <w:right w:w="15" w:type="dxa"/>
          </w:tblCellMar>
        </w:tblPrEx>
        <w:trPr>
          <w:trHeight w:val="8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7</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XM-02-C02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信息安全与管理专业校企共建的生产性实训基地建设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17.5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17.5</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8</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XM-02-C03</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数控技术生产性实训基地建设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27.4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11.9</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15.5</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XM-02-C04</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“代理记账公司”生产性实训基地建设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XM-03-C01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优质专科高等职业院校建设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11</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XM-04-C01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“双师型”教师培养培训基地建设</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12</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《嵌入式系统应用》精品在线开放课程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12</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13</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《移动通信网络优化》精品在线开放课程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32.8</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32.8</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14</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XM-06-02-C03</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《WEB应用安全》精品在线开放课程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15</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XM-06-02-C04</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《工业机器人技术应用》精品在线开放课程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11.7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6.7</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16</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XM-06-02-C05</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《可编程控制器应用》精品在线开放课程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9.03</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4.03</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17</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XM-06-02-C06</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《创业意识与创业技巧》精品在线开放课程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3.2</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3.2</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18</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XM-06-02-C07</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《计算机原理及数据结构》精品在线开放课程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19</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XM-06-02-C08</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《室内设计基础》精品在线开放课程</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20</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XM-07-C01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VR虚拟仿真实训室</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21</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XM-07-C02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智能制造技术虚拟仿真实训中心</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65.7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65.7</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22</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XM-07-C03</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跨境电商实训基地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51</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23</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XM-08-C01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建设骨干职业教育集团</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25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24</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XM-10-C01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支持东中部地区高职院校（职教集团）对口支援西部职业院校；支援革命老区、西藏及四省藏区、新疆和集中连片特殊困难地区的专科高等职业院校提升办学基础能力和人才培养水平</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25</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XM-15-C01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微电子技术专业现代学徒制试点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26</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XM-15-C02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数字媒体应用技术专业现代学徒制试点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27</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XM-16-C01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大数据智能处理技术与应用协同创新中心</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28</w:t>
            </w: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XM-16-C02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智能制造技术协同创新中心</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157</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137</w:t>
            </w:r>
          </w:p>
        </w:tc>
      </w:tr>
      <w:tr>
        <w:tblPrEx>
          <w:tblLayout w:type="fixed"/>
          <w:tblCellMar>
            <w:top w:w="15" w:type="dxa"/>
            <w:left w:w="15" w:type="dxa"/>
            <w:bottom w:w="15" w:type="dxa"/>
            <w:right w:w="15" w:type="dxa"/>
          </w:tblCellMar>
        </w:tblPrEx>
        <w:trPr>
          <w:trHeight w:val="840" w:hRule="atLeast"/>
        </w:trPr>
        <w:tc>
          <w:tcPr>
            <w:tcW w:w="55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29</w:t>
            </w:r>
          </w:p>
        </w:tc>
        <w:tc>
          <w:tcPr>
            <w:tcW w:w="138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XM-17-C01</w:t>
            </w:r>
          </w:p>
        </w:tc>
        <w:tc>
          <w:tcPr>
            <w:tcW w:w="411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与技艺大师、非物质文化遗产传承人等合作建立技能大师工作室</w:t>
            </w:r>
          </w:p>
        </w:tc>
        <w:tc>
          <w:tcPr>
            <w:tcW w:w="70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28.3</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10.3</w:t>
            </w:r>
          </w:p>
        </w:tc>
        <w:tc>
          <w:tcPr>
            <w:tcW w:w="993"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18</w:t>
            </w:r>
          </w:p>
        </w:tc>
      </w:tr>
      <w:tr>
        <w:tblPrEx>
          <w:tblLayout w:type="fixed"/>
          <w:tblCellMar>
            <w:top w:w="15" w:type="dxa"/>
            <w:left w:w="15" w:type="dxa"/>
            <w:bottom w:w="15" w:type="dxa"/>
            <w:right w:w="15" w:type="dxa"/>
          </w:tblCellMar>
        </w:tblPrEx>
        <w:trPr>
          <w:trHeight w:val="645" w:hRule="atLeast"/>
        </w:trPr>
        <w:tc>
          <w:tcPr>
            <w:tcW w:w="555"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30</w:t>
            </w:r>
          </w:p>
        </w:tc>
        <w:tc>
          <w:tcPr>
            <w:tcW w:w="138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XM-18-C01</w:t>
            </w:r>
          </w:p>
        </w:tc>
        <w:tc>
          <w:tcPr>
            <w:tcW w:w="411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开发建设一批创新创业教育专门课程（群）</w:t>
            </w:r>
          </w:p>
        </w:tc>
        <w:tc>
          <w:tcPr>
            <w:tcW w:w="70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35</w:t>
            </w:r>
          </w:p>
        </w:tc>
        <w:tc>
          <w:tcPr>
            <w:tcW w:w="99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35</w:t>
            </w:r>
          </w:p>
        </w:tc>
        <w:tc>
          <w:tcPr>
            <w:tcW w:w="993"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r>
      <w:tr>
        <w:tblPrEx>
          <w:tblLayout w:type="fixed"/>
          <w:tblCellMar>
            <w:top w:w="15" w:type="dxa"/>
            <w:left w:w="15" w:type="dxa"/>
            <w:bottom w:w="15" w:type="dxa"/>
            <w:right w:w="15" w:type="dxa"/>
          </w:tblCellMar>
        </w:tblPrEx>
        <w:trPr>
          <w:trHeight w:val="645" w:hRule="atLeast"/>
        </w:trPr>
        <w:tc>
          <w:tcPr>
            <w:tcW w:w="6047"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kern w:val="0"/>
                <w:szCs w:val="21"/>
              </w:rPr>
            </w:pPr>
            <w:r>
              <w:rPr>
                <w:rFonts w:hint="eastAsia" w:ascii="仿宋" w:hAnsi="仿宋" w:eastAsia="仿宋" w:cs="仿宋"/>
                <w:b/>
                <w:color w:val="000000"/>
                <w:kern w:val="0"/>
                <w:szCs w:val="21"/>
              </w:rPr>
              <w:t>总计</w:t>
            </w:r>
          </w:p>
        </w:tc>
        <w:tc>
          <w:tcPr>
            <w:tcW w:w="709"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kern w:val="0"/>
                <w:szCs w:val="21"/>
              </w:rPr>
            </w:pPr>
            <w:r>
              <w:rPr>
                <w:rFonts w:hint="eastAsia" w:ascii="仿宋" w:hAnsi="仿宋" w:eastAsia="仿宋" w:cs="仿宋"/>
                <w:b/>
                <w:color w:val="000000"/>
                <w:kern w:val="0"/>
                <w:szCs w:val="21"/>
              </w:rPr>
              <w:t>851.2</w:t>
            </w:r>
          </w:p>
        </w:tc>
        <w:tc>
          <w:tcPr>
            <w:tcW w:w="992"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kern w:val="0"/>
                <w:szCs w:val="21"/>
              </w:rPr>
            </w:pPr>
            <w:r>
              <w:rPr>
                <w:rFonts w:hint="eastAsia" w:ascii="仿宋" w:hAnsi="仿宋" w:eastAsia="仿宋" w:cs="仿宋"/>
                <w:b/>
                <w:color w:val="000000"/>
                <w:kern w:val="0"/>
                <w:szCs w:val="21"/>
              </w:rPr>
              <w:t>350</w:t>
            </w:r>
          </w:p>
        </w:tc>
        <w:tc>
          <w:tcPr>
            <w:tcW w:w="993"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kern w:val="0"/>
                <w:szCs w:val="21"/>
              </w:rPr>
            </w:pPr>
            <w:r>
              <w:rPr>
                <w:rFonts w:hint="eastAsia" w:ascii="仿宋" w:hAnsi="仿宋" w:eastAsia="仿宋" w:cs="仿宋"/>
                <w:b/>
                <w:color w:val="000000"/>
                <w:kern w:val="0"/>
                <w:szCs w:val="21"/>
              </w:rPr>
              <w:t>501.2</w:t>
            </w:r>
          </w:p>
        </w:tc>
      </w:tr>
    </w:tbl>
    <w:p>
      <w:pPr>
        <w:spacing w:before="156" w:beforeLines="50" w:after="156" w:afterLines="50"/>
        <w:rPr>
          <w:rFonts w:ascii="仿宋_GB2312" w:eastAsia="仿宋_GB2312"/>
          <w:sz w:val="28"/>
          <w:szCs w:val="28"/>
        </w:rPr>
      </w:pPr>
      <w:bookmarkStart w:id="126" w:name="_Toc26358"/>
      <w:bookmarkStart w:id="127" w:name="_Toc12356"/>
      <w:bookmarkStart w:id="128" w:name="_Toc25145"/>
    </w:p>
    <w:p>
      <w:pPr>
        <w:spacing w:before="156" w:beforeLines="50" w:after="156" w:afterLines="50"/>
        <w:outlineLvl w:val="1"/>
        <w:rPr>
          <w:rFonts w:ascii="仿宋_GB2312" w:eastAsia="仿宋_GB2312"/>
          <w:sz w:val="28"/>
          <w:szCs w:val="28"/>
        </w:rPr>
      </w:pPr>
      <w:bookmarkStart w:id="129" w:name="_Toc9771"/>
      <w:bookmarkStart w:id="130" w:name="_Toc24852"/>
      <w:bookmarkStart w:id="131" w:name="_Toc17880"/>
      <w:bookmarkStart w:id="132" w:name="_Toc19636"/>
      <w:r>
        <w:rPr>
          <w:rFonts w:hint="eastAsia" w:ascii="仿宋_GB2312" w:eastAsia="仿宋_GB2312"/>
          <w:sz w:val="28"/>
          <w:szCs w:val="28"/>
        </w:rPr>
        <w:t>（二）任务经费投入情况</w:t>
      </w:r>
      <w:bookmarkEnd w:id="126"/>
      <w:bookmarkEnd w:id="127"/>
      <w:bookmarkEnd w:id="128"/>
      <w:bookmarkEnd w:id="129"/>
      <w:bookmarkEnd w:id="130"/>
      <w:bookmarkEnd w:id="131"/>
      <w:bookmarkEnd w:id="132"/>
    </w:p>
    <w:p>
      <w:pPr>
        <w:spacing w:before="156" w:beforeLines="50" w:after="156" w:afterLines="50"/>
        <w:jc w:val="center"/>
        <w:rPr>
          <w:rFonts w:ascii="仿宋_GB2312" w:eastAsia="仿宋_GB2312"/>
          <w:b/>
          <w:bCs/>
          <w:sz w:val="28"/>
          <w:szCs w:val="28"/>
        </w:rPr>
      </w:pPr>
      <w:r>
        <w:rPr>
          <w:rFonts w:hint="eastAsia" w:ascii="仿宋_GB2312" w:eastAsia="仿宋_GB2312"/>
          <w:b/>
          <w:bCs/>
          <w:sz w:val="28"/>
          <w:szCs w:val="28"/>
        </w:rPr>
        <w:t>2017年度任务资金投入情况</w:t>
      </w:r>
    </w:p>
    <w:p>
      <w:pPr>
        <w:spacing w:before="156" w:beforeLines="50" w:after="156" w:afterLines="50"/>
        <w:jc w:val="right"/>
        <w:rPr>
          <w:rFonts w:ascii="仿宋_GB2312" w:eastAsia="仿宋_GB2312"/>
          <w:b/>
          <w:bCs/>
          <w:sz w:val="24"/>
        </w:rPr>
      </w:pPr>
      <w:r>
        <w:rPr>
          <w:rFonts w:hint="eastAsia" w:ascii="仿宋_GB2312" w:eastAsia="仿宋_GB2312"/>
          <w:b/>
          <w:bCs/>
          <w:sz w:val="24"/>
        </w:rPr>
        <w:t>（单位：万元）</w:t>
      </w:r>
    </w:p>
    <w:tbl>
      <w:tblPr>
        <w:tblStyle w:val="8"/>
        <w:tblW w:w="9345" w:type="dxa"/>
        <w:tblInd w:w="-474" w:type="dxa"/>
        <w:tblLayout w:type="fixed"/>
        <w:tblCellMar>
          <w:top w:w="15" w:type="dxa"/>
          <w:left w:w="15" w:type="dxa"/>
          <w:bottom w:w="15" w:type="dxa"/>
          <w:right w:w="15" w:type="dxa"/>
        </w:tblCellMar>
      </w:tblPr>
      <w:tblGrid>
        <w:gridCol w:w="1110"/>
        <w:gridCol w:w="2640"/>
        <w:gridCol w:w="1185"/>
        <w:gridCol w:w="1230"/>
        <w:gridCol w:w="1140"/>
        <w:gridCol w:w="900"/>
        <w:gridCol w:w="1140"/>
      </w:tblGrid>
      <w:tr>
        <w:tblPrEx>
          <w:tblLayout w:type="fixed"/>
          <w:tblCellMar>
            <w:top w:w="15" w:type="dxa"/>
            <w:left w:w="15" w:type="dxa"/>
            <w:bottom w:w="15" w:type="dxa"/>
            <w:right w:w="15" w:type="dxa"/>
          </w:tblCellMar>
        </w:tblPrEx>
        <w:trPr>
          <w:trHeight w:val="405" w:hRule="atLeast"/>
          <w:tblHeader/>
        </w:trPr>
        <w:tc>
          <w:tcPr>
            <w:tcW w:w="111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项目编号</w:t>
            </w:r>
          </w:p>
        </w:tc>
        <w:tc>
          <w:tcPr>
            <w:tcW w:w="264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名称</w:t>
            </w:r>
          </w:p>
        </w:tc>
        <w:tc>
          <w:tcPr>
            <w:tcW w:w="118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中央财政专项</w:t>
            </w:r>
          </w:p>
        </w:tc>
        <w:tc>
          <w:tcPr>
            <w:tcW w:w="123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省级投入资金</w:t>
            </w:r>
          </w:p>
        </w:tc>
        <w:tc>
          <w:tcPr>
            <w:tcW w:w="114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学校自筹资金</w:t>
            </w:r>
          </w:p>
        </w:tc>
        <w:tc>
          <w:tcPr>
            <w:tcW w:w="90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其他</w:t>
            </w:r>
          </w:p>
        </w:tc>
        <w:tc>
          <w:tcPr>
            <w:tcW w:w="114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各类投入总资金</w:t>
            </w:r>
          </w:p>
        </w:tc>
      </w:tr>
      <w:tr>
        <w:tblPrEx>
          <w:tblLayout w:type="fixed"/>
          <w:tblCellMar>
            <w:top w:w="15" w:type="dxa"/>
            <w:left w:w="15" w:type="dxa"/>
            <w:bottom w:w="15" w:type="dxa"/>
            <w:right w:w="15" w:type="dxa"/>
          </w:tblCellMar>
        </w:tblPrEx>
        <w:trPr>
          <w:trHeight w:val="624" w:hRule="atLeast"/>
          <w:tblHeader/>
        </w:trPr>
        <w:tc>
          <w:tcPr>
            <w:tcW w:w="111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264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118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123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114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9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c>
          <w:tcPr>
            <w:tcW w:w="114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仿宋" w:hAnsi="仿宋" w:eastAsia="仿宋" w:cs="仿宋"/>
                <w:b/>
                <w:color w:val="000000"/>
                <w:sz w:val="28"/>
                <w:szCs w:val="28"/>
              </w:rPr>
            </w:pPr>
          </w:p>
        </w:tc>
      </w:tr>
      <w:tr>
        <w:tblPrEx>
          <w:tblLayout w:type="fixed"/>
          <w:tblCellMar>
            <w:top w:w="15" w:type="dxa"/>
            <w:left w:w="15" w:type="dxa"/>
            <w:bottom w:w="15" w:type="dxa"/>
            <w:right w:w="15" w:type="dxa"/>
          </w:tblCellMar>
        </w:tblPrEx>
        <w:trPr>
          <w:trHeight w:val="405" w:hRule="atLeast"/>
        </w:trPr>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RW-01</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仿宋" w:hAnsi="仿宋" w:eastAsia="仿宋" w:cs="仿宋"/>
                <w:color w:val="000000"/>
                <w:szCs w:val="21"/>
              </w:rPr>
            </w:pPr>
            <w:r>
              <w:rPr>
                <w:rFonts w:hint="eastAsia" w:ascii="仿宋" w:hAnsi="仿宋" w:eastAsia="仿宋" w:cs="仿宋"/>
                <w:color w:val="000000"/>
                <w:kern w:val="0"/>
                <w:szCs w:val="21"/>
              </w:rPr>
              <w:t>加强与信誉良好的国际组织、跨国企业以及职业教育发达国家开展交流与合作</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132.61</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517.35</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289.51</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939.47</w:t>
            </w:r>
          </w:p>
        </w:tc>
      </w:tr>
      <w:tr>
        <w:tblPrEx>
          <w:tblLayout w:type="fixed"/>
          <w:tblCellMar>
            <w:top w:w="15" w:type="dxa"/>
            <w:left w:w="15" w:type="dxa"/>
            <w:bottom w:w="15" w:type="dxa"/>
            <w:right w:w="15" w:type="dxa"/>
          </w:tblCellMar>
        </w:tblPrEx>
        <w:trPr>
          <w:trHeight w:val="840" w:hRule="atLeast"/>
        </w:trPr>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RW-02</w:t>
            </w:r>
          </w:p>
        </w:tc>
        <w:tc>
          <w:tcPr>
            <w:tcW w:w="264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学习和引进国际先进成熟适用的职业标准、专业课程、教材体系和数字化教育资源</w:t>
            </w:r>
          </w:p>
        </w:tc>
        <w:tc>
          <w:tcPr>
            <w:tcW w:w="1185"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114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c>
          <w:tcPr>
            <w:tcW w:w="90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w:t>
            </w:r>
          </w:p>
        </w:tc>
      </w:tr>
      <w:tr>
        <w:tblPrEx>
          <w:tblLayout w:type="fixed"/>
          <w:tblCellMar>
            <w:top w:w="15" w:type="dxa"/>
            <w:left w:w="15" w:type="dxa"/>
            <w:bottom w:w="15" w:type="dxa"/>
            <w:right w:w="15" w:type="dxa"/>
          </w:tblCellMar>
        </w:tblPrEx>
        <w:trPr>
          <w:trHeight w:val="168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RW-03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选择类型相同、专业相近的国（境）外高水平院校联合开发课程，共建专业、实验室或实训基地，建立教师交流、学生交换、学分互认等合作关系</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w:t>
            </w:r>
          </w:p>
        </w:tc>
      </w:tr>
      <w:tr>
        <w:tblPrEx>
          <w:tblLayout w:type="fixed"/>
          <w:tblCellMar>
            <w:top w:w="15" w:type="dxa"/>
            <w:left w:w="15" w:type="dxa"/>
            <w:bottom w:w="15" w:type="dxa"/>
            <w:right w:w="15" w:type="dxa"/>
          </w:tblCellMar>
        </w:tblPrEx>
        <w:trPr>
          <w:trHeight w:val="63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高等职业院校专业骨干教师国家级、省级培训计划</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313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320</w:t>
            </w:r>
          </w:p>
        </w:tc>
      </w:tr>
      <w:tr>
        <w:tblPrEx>
          <w:tblLayout w:type="fixed"/>
          <w:tblCellMar>
            <w:top w:w="15" w:type="dxa"/>
            <w:left w:w="15" w:type="dxa"/>
            <w:bottom w:w="15" w:type="dxa"/>
            <w:right w:w="15" w:type="dxa"/>
          </w:tblCellMar>
        </w:tblPrEx>
        <w:trPr>
          <w:trHeight w:val="63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RW-12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将信息技术应用能力作为教师评聘考核的重要依据</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1.834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1.834</w:t>
            </w:r>
          </w:p>
        </w:tc>
      </w:tr>
      <w:tr>
        <w:tblPrEx>
          <w:tblLayout w:type="fixed"/>
          <w:tblCellMar>
            <w:top w:w="15" w:type="dxa"/>
            <w:left w:w="15" w:type="dxa"/>
            <w:bottom w:w="15" w:type="dxa"/>
            <w:right w:w="15" w:type="dxa"/>
          </w:tblCellMar>
        </w:tblPrEx>
        <w:trPr>
          <w:trHeight w:val="189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RW-44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地区、有关部门整合发展财政和社会资金，支持高校学生创新创业活动。高等职业院校优化经费支出结构，多渠道统筹安排资金，支持创新创业教育教学，资助学生创新创业项目</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525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875</w:t>
            </w:r>
          </w:p>
        </w:tc>
      </w:tr>
      <w:tr>
        <w:tblPrEx>
          <w:tblLayout w:type="fixed"/>
          <w:tblCellMar>
            <w:top w:w="15" w:type="dxa"/>
            <w:left w:w="15" w:type="dxa"/>
            <w:bottom w:w="15" w:type="dxa"/>
            <w:right w:w="15" w:type="dxa"/>
          </w:tblCellMar>
        </w:tblPrEx>
        <w:trPr>
          <w:trHeight w:val="14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Cs/>
                <w:color w:val="000000"/>
                <w:szCs w:val="21"/>
              </w:rPr>
            </w:pPr>
            <w:r>
              <w:rPr>
                <w:rFonts w:hint="eastAsia" w:ascii="仿宋" w:hAnsi="仿宋" w:eastAsia="仿宋" w:cs="仿宋"/>
                <w:bCs/>
                <w:color w:val="000000"/>
                <w:kern w:val="0"/>
                <w:szCs w:val="21"/>
              </w:rPr>
              <w:t>RW-58</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加强高等职业教育研究机构和队伍建设，加大投入支持相关研究工作；有条件的高等职业院校建立专门教育研究机构，开展教学研究</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w:t>
            </w:r>
          </w:p>
        </w:tc>
      </w:tr>
      <w:tr>
        <w:tblPrEx>
          <w:tblLayout w:type="fixed"/>
          <w:tblCellMar>
            <w:top w:w="15" w:type="dxa"/>
            <w:left w:w="15" w:type="dxa"/>
            <w:bottom w:w="15" w:type="dxa"/>
            <w:right w:w="15" w:type="dxa"/>
          </w:tblCellMar>
        </w:tblPrEx>
        <w:trPr>
          <w:trHeight w:val="675" w:hRule="atLeast"/>
        </w:trPr>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color w:val="000000"/>
                <w:szCs w:val="21"/>
              </w:rPr>
            </w:pPr>
            <w:r>
              <w:rPr>
                <w:rFonts w:hint="eastAsia" w:ascii="仿宋" w:hAnsi="仿宋" w:eastAsia="仿宋" w:cs="仿宋"/>
                <w:b/>
                <w:color w:val="000000"/>
                <w:kern w:val="0"/>
                <w:szCs w:val="21"/>
              </w:rPr>
              <w:t>总计</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132.61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1182.184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820.51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9</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2144.304</w:t>
            </w:r>
          </w:p>
        </w:tc>
      </w:tr>
    </w:tbl>
    <w:p>
      <w:pPr>
        <w:spacing w:before="312" w:beforeLines="100"/>
        <w:ind w:firstLine="562" w:firstLineChars="200"/>
        <w:outlineLvl w:val="0"/>
        <w:rPr>
          <w:rFonts w:ascii="仿宋_GB2312" w:eastAsia="仿宋_GB2312"/>
          <w:b/>
          <w:bCs/>
          <w:color w:val="FF0000"/>
          <w:sz w:val="28"/>
          <w:szCs w:val="28"/>
        </w:rPr>
      </w:pPr>
      <w:bookmarkStart w:id="133" w:name="_Toc10621"/>
      <w:bookmarkStart w:id="134" w:name="_Toc9318"/>
      <w:bookmarkStart w:id="135" w:name="_Toc18017"/>
      <w:bookmarkStart w:id="136" w:name="_Toc29141"/>
      <w:bookmarkStart w:id="137" w:name="_Toc30383"/>
      <w:bookmarkStart w:id="138" w:name="_Toc22063"/>
      <w:bookmarkStart w:id="139" w:name="_Toc11594"/>
      <w:bookmarkStart w:id="140" w:name="_Toc774"/>
      <w:r>
        <w:rPr>
          <w:rFonts w:hint="eastAsia" w:ascii="仿宋_GB2312" w:eastAsia="仿宋_GB2312"/>
          <w:b/>
          <w:bCs/>
          <w:sz w:val="28"/>
          <w:szCs w:val="28"/>
        </w:rPr>
        <w:t>五、建设成效</w:t>
      </w:r>
      <w:bookmarkEnd w:id="133"/>
      <w:bookmarkEnd w:id="134"/>
      <w:bookmarkEnd w:id="135"/>
      <w:bookmarkEnd w:id="136"/>
      <w:bookmarkEnd w:id="137"/>
      <w:bookmarkEnd w:id="138"/>
      <w:bookmarkEnd w:id="139"/>
      <w:bookmarkEnd w:id="14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1" w:firstLineChars="0"/>
        <w:jc w:val="both"/>
        <w:textAlignment w:val="auto"/>
        <w:outlineLvl w:val="9"/>
        <w:rPr>
          <w:rFonts w:ascii="仿宋_GB2312" w:eastAsia="仿宋_GB2312"/>
          <w:sz w:val="28"/>
          <w:szCs w:val="28"/>
        </w:rPr>
      </w:pPr>
      <w:bookmarkStart w:id="141" w:name="_Toc8453"/>
      <w:r>
        <w:rPr>
          <w:rFonts w:hint="eastAsia" w:ascii="仿宋_GB2312" w:eastAsia="仿宋_GB2312"/>
          <w:sz w:val="28"/>
          <w:szCs w:val="28"/>
        </w:rPr>
        <w:t>2017年度，项目（任务）建设过程中，各负责人根据拟定的项目（任务）实施方案和绩效目标</w:t>
      </w:r>
      <w:r>
        <w:rPr>
          <w:rFonts w:hint="eastAsia" w:ascii="仿宋_GB2312" w:eastAsia="仿宋_GB2312"/>
          <w:sz w:val="28"/>
          <w:szCs w:val="28"/>
          <w:lang w:eastAsia="zh-CN"/>
        </w:rPr>
        <w:t>，</w:t>
      </w:r>
      <w:r>
        <w:rPr>
          <w:rFonts w:hint="eastAsia" w:ascii="仿宋_GB2312" w:eastAsia="仿宋_GB2312"/>
          <w:sz w:val="28"/>
          <w:szCs w:val="28"/>
        </w:rPr>
        <w:t>不断优化工作方案，推进工作进展。</w:t>
      </w:r>
      <w:r>
        <w:rPr>
          <w:rFonts w:hint="eastAsia" w:ascii="仿宋_GB2312" w:eastAsia="仿宋_GB2312"/>
          <w:sz w:val="28"/>
          <w:szCs w:val="28"/>
          <w:lang w:eastAsia="zh-CN"/>
        </w:rPr>
        <w:t>围绕四个中心，建成优质高等专科学校的建设目标，取得</w:t>
      </w:r>
      <w:r>
        <w:rPr>
          <w:rFonts w:hint="eastAsia" w:ascii="仿宋_GB2312" w:eastAsia="仿宋_GB2312"/>
          <w:sz w:val="28"/>
          <w:szCs w:val="28"/>
        </w:rPr>
        <w:t>建设成效如下</w:t>
      </w:r>
      <w:bookmarkEnd w:id="141"/>
      <w:r>
        <w:rPr>
          <w:rFonts w:hint="eastAsia" w:ascii="仿宋_GB2312" w:eastAsia="仿宋_GB2312"/>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1"/>
        <w:rPr>
          <w:rFonts w:hint="eastAsia" w:ascii="仿宋_GB2312" w:eastAsia="仿宋_GB2312"/>
          <w:sz w:val="28"/>
          <w:szCs w:val="28"/>
          <w:lang w:eastAsia="zh-CN"/>
        </w:rPr>
      </w:pPr>
      <w:bookmarkStart w:id="142" w:name="_Toc8135"/>
      <w:bookmarkStart w:id="143" w:name="_Toc15316"/>
      <w:bookmarkStart w:id="144" w:name="_Toc27827"/>
      <w:bookmarkStart w:id="145" w:name="_Toc19438"/>
      <w:bookmarkStart w:id="146" w:name="_Toc10686"/>
      <w:bookmarkStart w:id="147" w:name="_Toc7051"/>
      <w:r>
        <w:rPr>
          <w:rFonts w:hint="eastAsia" w:ascii="仿宋_GB2312" w:eastAsia="仿宋_GB2312"/>
          <w:sz w:val="28"/>
          <w:szCs w:val="28"/>
          <w:lang w:eastAsia="zh-CN"/>
        </w:rPr>
        <w:t>（</w:t>
      </w:r>
      <w:r>
        <w:rPr>
          <w:rFonts w:hint="eastAsia" w:ascii="仿宋_GB2312" w:eastAsia="仿宋_GB2312"/>
          <w:sz w:val="28"/>
          <w:szCs w:val="28"/>
          <w:lang w:val="en-US" w:eastAsia="zh-CN"/>
        </w:rPr>
        <w:t>一</w:t>
      </w:r>
      <w:r>
        <w:rPr>
          <w:rFonts w:hint="eastAsia" w:ascii="仿宋_GB2312" w:eastAsia="仿宋_GB2312"/>
          <w:sz w:val="28"/>
          <w:szCs w:val="28"/>
          <w:lang w:eastAsia="zh-CN"/>
        </w:rPr>
        <w:t>）深化教学改革，扩大教育资源</w:t>
      </w:r>
      <w:bookmarkEnd w:id="142"/>
      <w:bookmarkEnd w:id="143"/>
      <w:bookmarkEnd w:id="144"/>
      <w:bookmarkEnd w:id="145"/>
      <w:bookmarkEnd w:id="146"/>
      <w:r>
        <w:rPr>
          <w:rFonts w:hint="eastAsia" w:ascii="仿宋_GB2312" w:eastAsia="仿宋_GB2312"/>
          <w:sz w:val="28"/>
          <w:szCs w:val="28"/>
          <w:lang w:val="en-US" w:eastAsia="zh-CN"/>
        </w:rPr>
        <w:t>,建设</w:t>
      </w:r>
      <w:r>
        <w:rPr>
          <w:rFonts w:hint="eastAsia" w:ascii="仿宋_GB2312" w:eastAsia="仿宋_GB2312"/>
          <w:sz w:val="28"/>
          <w:szCs w:val="28"/>
          <w:lang w:eastAsia="zh-CN"/>
        </w:rPr>
        <w:t>协同创新发展中心</w:t>
      </w:r>
      <w:bookmarkEnd w:id="147"/>
    </w:p>
    <w:p>
      <w:pPr>
        <w:ind w:firstLine="560"/>
        <w:rPr>
          <w:rFonts w:hint="eastAsia" w:ascii="仿宋_GB2312" w:eastAsia="仿宋_GB2312"/>
          <w:sz w:val="28"/>
          <w:szCs w:val="28"/>
        </w:rPr>
      </w:pPr>
      <w:r>
        <w:rPr>
          <w:rFonts w:hint="eastAsia" w:ascii="仿宋_GB2312" w:eastAsia="仿宋_GB2312"/>
          <w:sz w:val="28"/>
          <w:szCs w:val="28"/>
          <w:lang w:eastAsia="zh-CN"/>
        </w:rPr>
        <w:t>制定创业教育计划，建设</w:t>
      </w:r>
      <w:r>
        <w:rPr>
          <w:rFonts w:hint="eastAsia" w:ascii="仿宋_GB2312" w:eastAsia="仿宋_GB2312"/>
          <w:sz w:val="28"/>
          <w:szCs w:val="28"/>
        </w:rPr>
        <w:t>创新能力培训中心</w:t>
      </w:r>
      <w:r>
        <w:rPr>
          <w:rFonts w:hint="eastAsia" w:ascii="仿宋_GB2312" w:eastAsia="仿宋_GB2312"/>
          <w:sz w:val="28"/>
          <w:szCs w:val="28"/>
          <w:lang w:eastAsia="zh-CN"/>
        </w:rPr>
        <w:t>。</w:t>
      </w:r>
      <w:r>
        <w:rPr>
          <w:rFonts w:hint="eastAsia" w:ascii="仿宋_GB2312" w:eastAsia="仿宋_GB2312"/>
          <w:sz w:val="28"/>
          <w:szCs w:val="28"/>
        </w:rPr>
        <w:t>开展学生创新讲座</w:t>
      </w:r>
      <w:r>
        <w:rPr>
          <w:rFonts w:hint="eastAsia" w:ascii="仿宋_GB2312" w:eastAsia="仿宋_GB2312"/>
          <w:sz w:val="28"/>
          <w:szCs w:val="28"/>
          <w:lang w:eastAsia="zh-CN"/>
        </w:rPr>
        <w:t>，</w:t>
      </w:r>
      <w:r>
        <w:rPr>
          <w:rFonts w:hint="eastAsia" w:ascii="仿宋_GB2312" w:eastAsia="仿宋_GB2312"/>
          <w:sz w:val="28"/>
          <w:szCs w:val="28"/>
        </w:rPr>
        <w:t>开展“互联网+” 智能创造、跨境电商、3D创意等科技训练</w:t>
      </w:r>
      <w:r>
        <w:rPr>
          <w:rFonts w:hint="eastAsia" w:ascii="仿宋_GB2312" w:eastAsia="仿宋_GB2312"/>
          <w:sz w:val="28"/>
          <w:szCs w:val="28"/>
          <w:lang w:eastAsia="zh-CN"/>
        </w:rPr>
        <w:t>，</w:t>
      </w:r>
      <w:r>
        <w:rPr>
          <w:rFonts w:hint="eastAsia" w:ascii="仿宋_GB2312" w:eastAsia="仿宋_GB2312"/>
          <w:sz w:val="28"/>
          <w:szCs w:val="28"/>
        </w:rPr>
        <w:t>组织学生团队、师生团队承接企业真实项目</w:t>
      </w:r>
      <w:r>
        <w:rPr>
          <w:rFonts w:hint="eastAsia" w:ascii="仿宋_GB2312" w:eastAsia="仿宋_GB2312"/>
          <w:sz w:val="28"/>
          <w:szCs w:val="28"/>
          <w:lang w:eastAsia="zh-CN"/>
        </w:rPr>
        <w:t>。</w:t>
      </w:r>
    </w:p>
    <w:p>
      <w:pPr>
        <w:ind w:firstLine="560"/>
        <w:rPr>
          <w:rFonts w:ascii="仿宋_GB2312" w:eastAsia="仿宋_GB2312"/>
          <w:sz w:val="28"/>
          <w:szCs w:val="28"/>
        </w:rPr>
      </w:pPr>
      <w:r>
        <w:rPr>
          <w:rFonts w:hint="eastAsia" w:ascii="仿宋_GB2312" w:eastAsia="仿宋_GB2312"/>
          <w:sz w:val="28"/>
          <w:szCs w:val="28"/>
        </w:rPr>
        <w:t>以骨干专业建设为抓手，扩大优质教育资源，深化教育教学改革。</w:t>
      </w:r>
    </w:p>
    <w:p>
      <w:pPr>
        <w:ind w:firstLine="560"/>
        <w:rPr>
          <w:rFonts w:hint="eastAsia" w:ascii="仿宋_GB2312" w:eastAsia="仿宋_GB2312"/>
          <w:sz w:val="28"/>
          <w:szCs w:val="28"/>
        </w:rPr>
      </w:pPr>
      <w:r>
        <w:rPr>
          <w:rFonts w:hint="eastAsia" w:ascii="仿宋_GB2312" w:eastAsia="仿宋_GB2312"/>
          <w:sz w:val="28"/>
          <w:szCs w:val="28"/>
        </w:rPr>
        <w:t>人才培养方案方面，智能控制技术骨干专业形成了新的人才培养方案；工业机器人技术专业及工业机器人技术（中高）贯通形成专业人才培养方案，并完成了2017年专业课程标准；机电一体化技术（中德合作）骨干专业完成了2017年人才培养方案，并制定专业课和专业基础课课程标准。建立大师工作室</w:t>
      </w:r>
      <w:r>
        <w:rPr>
          <w:rFonts w:hint="eastAsia" w:ascii="仿宋_GB2312" w:eastAsia="仿宋_GB2312"/>
          <w:sz w:val="28"/>
          <w:szCs w:val="28"/>
          <w:lang w:eastAsia="zh-CN"/>
        </w:rPr>
        <w:t>。</w:t>
      </w:r>
    </w:p>
    <w:p>
      <w:pPr>
        <w:rPr>
          <w:rFonts w:ascii="仿宋_GB2312" w:eastAsia="仿宋_GB2312"/>
          <w:sz w:val="28"/>
          <w:szCs w:val="28"/>
        </w:rPr>
      </w:pPr>
      <w:r>
        <w:rPr>
          <w:rFonts w:hint="eastAsia" w:ascii="仿宋_GB2312" w:eastAsia="仿宋_GB2312"/>
          <w:sz w:val="28"/>
          <w:szCs w:val="28"/>
        </w:rPr>
        <w:t xml:space="preserve">     课程建设方面，智能控制技术骨干专业建设完成了《电子电路设计》《电子产品装配与测量》和《典型传感器配置与调试》三门双证融通课程；工业机器人技术骨干专业完成了《工业机器人操作与编程》教学资源库、《工业机器人操作与编程》课程建设。此外，新增8门课程，物联网工程技术专业新增1门，工业机器人技术（中高）贯通专业新增7门。</w:t>
      </w:r>
    </w:p>
    <w:p>
      <w:pPr>
        <w:ind w:firstLine="560"/>
        <w:rPr>
          <w:rFonts w:hint="eastAsia" w:ascii="仿宋_GB2312" w:eastAsia="仿宋_GB2312"/>
          <w:sz w:val="28"/>
          <w:szCs w:val="28"/>
          <w:lang w:eastAsia="zh-CN"/>
        </w:rPr>
      </w:pPr>
      <w:r>
        <w:rPr>
          <w:rFonts w:hint="eastAsia" w:ascii="仿宋_GB2312" w:eastAsia="仿宋_GB2312"/>
          <w:sz w:val="28"/>
          <w:szCs w:val="28"/>
        </w:rPr>
        <w:t>此外，学校在优化2017级各专业人才培养方案过程中，统一将创新创业纳入学分管理，编写创业教材，实施创业与创新教育。建立创新创业教育师资库，聘请校外专家对学生进行创业教育。建立并完善学生工作室，已建设工作室创新创业制度，并组织学生开展多次工业博览会创新实践活动，新增3D打印创新工作室、无人机创新工作室、机械装调工作室、科技学生创新工作室、AR创意中心、EB工作室。坚持“六个一”职业素养教育，组织专业指导教师开展专业讲座，做到新生教育专题讲座全覆盖。开展企业新技术、行业发展趋势介绍、参观上海科创中心等拓展活动</w:t>
      </w:r>
      <w:r>
        <w:rPr>
          <w:rFonts w:hint="eastAsia" w:ascii="仿宋_GB2312" w:eastAsia="仿宋_GB2312"/>
          <w:sz w:val="28"/>
          <w:szCs w:val="28"/>
          <w:lang w:eastAsia="zh-CN"/>
        </w:rPr>
        <w:t>。</w:t>
      </w:r>
    </w:p>
    <w:p>
      <w:pPr>
        <w:ind w:firstLine="560"/>
        <w:rPr>
          <w:rFonts w:hint="eastAsia" w:ascii="仿宋_GB2312" w:eastAsia="仿宋_GB2312"/>
          <w:sz w:val="28"/>
          <w:szCs w:val="28"/>
          <w:lang w:val="en-US" w:eastAsia="zh-CN"/>
        </w:rPr>
      </w:pPr>
      <w:r>
        <w:rPr>
          <w:rFonts w:hint="eastAsia" w:ascii="仿宋_GB2312" w:eastAsia="仿宋_GB2312"/>
          <w:sz w:val="28"/>
          <w:szCs w:val="28"/>
          <w:lang w:eastAsia="zh-CN"/>
        </w:rPr>
        <w:t>学校</w:t>
      </w:r>
      <w:r>
        <w:rPr>
          <w:rFonts w:hint="eastAsia" w:ascii="仿宋_GB2312" w:eastAsia="仿宋_GB2312"/>
          <w:sz w:val="28"/>
          <w:szCs w:val="28"/>
          <w:lang w:val="en-US" w:eastAsia="zh-CN"/>
        </w:rPr>
        <w:t>引导学生开展创业模拟、创业孵化、创业实践，开展创业“路演”等活动，举办创新创业技能大赛，2017年学院获得上海市高职院校大学生创新创业大赛“优秀组织奖”。</w:t>
      </w:r>
    </w:p>
    <w:p>
      <w:pPr>
        <w:numPr>
          <w:ilvl w:val="0"/>
          <w:numId w:val="0"/>
        </w:numPr>
        <w:ind w:firstLine="560" w:firstLineChars="200"/>
        <w:outlineLvl w:val="1"/>
        <w:rPr>
          <w:rFonts w:ascii="仿宋_GB2312" w:eastAsia="仿宋_GB2312"/>
          <w:sz w:val="28"/>
          <w:szCs w:val="28"/>
        </w:rPr>
      </w:pPr>
      <w:bookmarkStart w:id="148" w:name="_Toc17675"/>
      <w:r>
        <w:rPr>
          <w:rFonts w:hint="eastAsia" w:ascii="仿宋_GB2312" w:eastAsia="仿宋_GB2312"/>
          <w:sz w:val="28"/>
          <w:szCs w:val="28"/>
          <w:lang w:eastAsia="zh-CN"/>
        </w:rPr>
        <w:t>（</w:t>
      </w:r>
      <w:r>
        <w:rPr>
          <w:rFonts w:hint="eastAsia" w:ascii="仿宋_GB2312" w:eastAsia="仿宋_GB2312"/>
          <w:sz w:val="28"/>
          <w:szCs w:val="28"/>
          <w:lang w:val="en-US" w:eastAsia="zh-CN"/>
        </w:rPr>
        <w:t>二</w:t>
      </w:r>
      <w:r>
        <w:rPr>
          <w:rFonts w:hint="eastAsia" w:ascii="仿宋_GB2312" w:eastAsia="仿宋_GB2312"/>
          <w:sz w:val="28"/>
          <w:szCs w:val="28"/>
          <w:lang w:eastAsia="zh-CN"/>
        </w:rPr>
        <w:t>）紧密对接产业，建设学习驿站服务中心</w:t>
      </w:r>
      <w:bookmarkEnd w:id="148"/>
    </w:p>
    <w:p>
      <w:pPr>
        <w:numPr>
          <w:ilvl w:val="0"/>
          <w:numId w:val="0"/>
        </w:numPr>
        <w:ind w:firstLine="560" w:firstLineChars="200"/>
        <w:rPr>
          <w:rFonts w:hint="eastAsia" w:ascii="仿宋_GB2312" w:eastAsia="仿宋_GB2312"/>
          <w:sz w:val="28"/>
          <w:szCs w:val="28"/>
        </w:rPr>
      </w:pPr>
      <w:r>
        <w:rPr>
          <w:rFonts w:hint="eastAsia" w:ascii="仿宋_GB2312" w:eastAsia="仿宋_GB2312"/>
          <w:sz w:val="28"/>
          <w:szCs w:val="28"/>
          <w:lang w:val="en-US" w:eastAsia="zh-CN"/>
        </w:rPr>
        <w:t>1.继续建设公共实训基地。</w:t>
      </w:r>
      <w:r>
        <w:rPr>
          <w:rFonts w:hint="eastAsia" w:ascii="仿宋_GB2312" w:eastAsia="仿宋_GB2312"/>
          <w:sz w:val="28"/>
          <w:szCs w:val="28"/>
        </w:rPr>
        <w:t>学校围绕专业人才培养目标，根据</w:t>
      </w:r>
    </w:p>
    <w:p>
      <w:pPr>
        <w:numPr>
          <w:ilvl w:val="0"/>
          <w:numId w:val="0"/>
        </w:numPr>
        <w:rPr>
          <w:rFonts w:hint="eastAsia" w:ascii="仿宋_GB2312" w:eastAsia="仿宋_GB2312"/>
          <w:sz w:val="28"/>
          <w:szCs w:val="28"/>
        </w:rPr>
      </w:pPr>
      <w:r>
        <w:rPr>
          <w:rFonts w:hint="eastAsia" w:ascii="仿宋_GB2312" w:eastAsia="仿宋_GB2312"/>
          <w:sz w:val="28"/>
          <w:szCs w:val="28"/>
        </w:rPr>
        <w:t>重点专业及相关专业群建设的要求，以就业为导向，以服务为宗旨，注重校企合作、工学结合，注重职业能力和综合素质培养，建立了集教学、培训、职业技能鉴定和科研于一体的校内外实训实习基</w:t>
      </w:r>
      <w:r>
        <w:rPr>
          <w:rFonts w:hint="eastAsia" w:ascii="仿宋_GB2312" w:eastAsia="仿宋_GB2312"/>
          <w:sz w:val="28"/>
          <w:szCs w:val="28"/>
          <w:lang w:eastAsia="zh-CN"/>
        </w:rPr>
        <w:t>地并向社会开放</w:t>
      </w:r>
      <w:r>
        <w:rPr>
          <w:rFonts w:hint="eastAsia" w:ascii="仿宋_GB2312" w:eastAsia="仿宋_GB2312"/>
          <w:sz w:val="28"/>
          <w:szCs w:val="28"/>
        </w:rPr>
        <w:t>。实训基地建设过程中校企共同规划、共同建设、共同管理，环境建设按照企业真实环境布置，力求实现教学、培训、科研、生产和鉴定一体化功能。促进了教学过程与生产过程的真正对接。通过深化校企合作，学校与宝钢集团股份有限公司、大唐移动通信设备有限公司、贝尔阿尔卡特有限公司等国有大中型企业、外资企业合作共建了近100家校外实习基地。</w:t>
      </w:r>
    </w:p>
    <w:p>
      <w:pPr>
        <w:numPr>
          <w:ilvl w:val="0"/>
          <w:numId w:val="0"/>
        </w:numPr>
        <w:ind w:firstLine="560" w:firstLineChars="200"/>
        <w:rPr>
          <w:rFonts w:hint="eastAsia" w:ascii="仿宋_GB2312" w:eastAsia="仿宋_GB2312"/>
          <w:sz w:val="28"/>
          <w:szCs w:val="28"/>
        </w:rPr>
      </w:pPr>
      <w:r>
        <w:rPr>
          <w:rFonts w:hint="eastAsia" w:ascii="仿宋_GB2312" w:eastAsia="仿宋_GB2312"/>
          <w:sz w:val="28"/>
          <w:szCs w:val="28"/>
          <w:lang w:val="en-US" w:eastAsia="zh-CN"/>
        </w:rPr>
        <w:t>2.建立教学资源开放空间，设立电子信息大类专业教学资源库、专业知识库，免费开放优质教学资源和课程信息，让校友、企业员工、社会青年始终适应产业需求，保持较强的职业竞争力。</w:t>
      </w:r>
      <w:r>
        <w:rPr>
          <w:rFonts w:hint="eastAsia" w:ascii="仿宋_GB2312" w:eastAsia="仿宋_GB2312"/>
          <w:sz w:val="28"/>
          <w:szCs w:val="28"/>
        </w:rPr>
        <w:t>学校申报了2门市级精品课程、2支市级教学团队。为鼓励教学实践、改革、研究，发挥教学成果的引领激励作用，提高教育质量，通过申报与评选，最终评选出校级教学成果，特等奖2个、一等奖2个、二等奖7个。在2017年全国职业院校技能大赛中，获得了《软件测试》团体一等奖，《光伏电子工程的设计与实施》《嵌入式技术与应用开发》等5个二等奖，《市场营销技能》《计算机网络应用》等6个三等奖，获全国数学建模大赛一等奖。两名教师获得2017年全国职业院校技能大赛优秀指导教师称号。</w:t>
      </w:r>
    </w:p>
    <w:p>
      <w:pPr>
        <w:numPr>
          <w:ilvl w:val="0"/>
          <w:numId w:val="0"/>
        </w:numPr>
        <w:ind w:firstLine="560" w:firstLineChars="200"/>
        <w:rPr>
          <w:rFonts w:hint="eastAsia"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加强校企合作，根据企业需求，为入职的企业员工量身定做“回炉班”，以及“技能证书培训班”，根据校友、企业员工、社会青年个性化需求，梳理学院教学资源，安排随课学习，跟班学习，提供校园内继续学习技术技能的机会，强化实践动手能力，培养持续发展人才。</w:t>
      </w:r>
    </w:p>
    <w:p>
      <w:pPr>
        <w:ind w:firstLine="560"/>
        <w:outlineLvl w:val="9"/>
        <w:rPr>
          <w:rFonts w:ascii="仿宋_GB2312" w:eastAsia="仿宋_GB2312"/>
          <w:sz w:val="28"/>
          <w:szCs w:val="28"/>
        </w:rPr>
      </w:pPr>
      <w:r>
        <w:rPr>
          <w:rFonts w:hint="eastAsia" w:ascii="仿宋_GB2312" w:eastAsia="仿宋_GB2312"/>
          <w:sz w:val="28"/>
          <w:szCs w:val="28"/>
          <w:lang w:val="en-US" w:eastAsia="zh-CN"/>
        </w:rPr>
        <w:t>4</w:t>
      </w:r>
      <w:bookmarkStart w:id="149" w:name="_Toc27704"/>
      <w:bookmarkStart w:id="150" w:name="_Toc29851"/>
      <w:bookmarkStart w:id="151" w:name="_Toc10654"/>
      <w:bookmarkStart w:id="152" w:name="_Toc28560"/>
      <w:bookmarkStart w:id="153" w:name="_Toc8282"/>
      <w:r>
        <w:rPr>
          <w:rFonts w:hint="eastAsia" w:ascii="仿宋_GB2312" w:eastAsia="仿宋_GB2312"/>
          <w:sz w:val="28"/>
          <w:szCs w:val="28"/>
          <w:lang w:val="en-US" w:eastAsia="zh-CN"/>
        </w:rPr>
        <w:t>.</w:t>
      </w:r>
      <w:r>
        <w:rPr>
          <w:rFonts w:hint="eastAsia" w:ascii="仿宋_GB2312" w:eastAsia="仿宋_GB2312"/>
          <w:sz w:val="28"/>
          <w:szCs w:val="28"/>
        </w:rPr>
        <w:t>加强师资建设，提升教学</w:t>
      </w:r>
      <w:r>
        <w:rPr>
          <w:rFonts w:hint="eastAsia" w:ascii="仿宋_GB2312" w:eastAsia="仿宋_GB2312"/>
          <w:sz w:val="28"/>
          <w:szCs w:val="28"/>
          <w:lang w:eastAsia="zh-CN"/>
        </w:rPr>
        <w:t>和服务</w:t>
      </w:r>
      <w:r>
        <w:rPr>
          <w:rFonts w:hint="eastAsia" w:ascii="仿宋_GB2312" w:eastAsia="仿宋_GB2312"/>
          <w:sz w:val="28"/>
          <w:szCs w:val="28"/>
        </w:rPr>
        <w:t>能力</w:t>
      </w:r>
      <w:bookmarkEnd w:id="149"/>
      <w:bookmarkEnd w:id="150"/>
      <w:bookmarkEnd w:id="151"/>
      <w:bookmarkEnd w:id="152"/>
      <w:bookmarkEnd w:id="153"/>
    </w:p>
    <w:p>
      <w:pPr>
        <w:ind w:firstLine="560" w:firstLineChars="200"/>
        <w:rPr>
          <w:rFonts w:ascii="仿宋_GB2312" w:eastAsia="仿宋_GB2312"/>
          <w:sz w:val="28"/>
          <w:szCs w:val="28"/>
        </w:rPr>
      </w:pPr>
      <w:r>
        <w:rPr>
          <w:rFonts w:hint="eastAsia" w:ascii="仿宋_GB2312" w:eastAsia="仿宋_GB2312"/>
          <w:sz w:val="28"/>
          <w:szCs w:val="28"/>
        </w:rPr>
        <w:t>2017年，全校统筹规划，与各二级学院共同探讨，按照“专任教师按专业发展规划配置与培养规划、专业带头人数量充实与水平提升、专任教师科技转化与社会服务成果的管理培养”取向，在做好师资队伍现状分析的基础上，明晰师资队伍建设的重点内容，提出了合理构建二级学院专业教师梯队、师资队伍建设目标落实到人、人员培养走规范路径等要求，进一步细化了本部门师资队伍建设规划，在师资队伍建设日常工作的开展中，对师资队伍建设的四大块（专业带头人、骨干教师、双师素质、兼职教师），人事处从7个建设子项目出发（兼职教师聘请、国内学习考察、职业能力培训、教师参加企业实践、教育教学能力提升培训、科研应用能力提升培训、教师专业发展工程），积极组织年初规划申报、落实人选及培养规划、按学期定期检查、积极反馈修正，形成管理良性循环。</w:t>
      </w:r>
    </w:p>
    <w:p>
      <w:pPr>
        <w:numPr>
          <w:ilvl w:val="0"/>
          <w:numId w:val="0"/>
        </w:numPr>
        <w:ind w:left="560" w:leftChars="0"/>
        <w:outlineLvl w:val="1"/>
        <w:rPr>
          <w:rFonts w:hint="eastAsia" w:ascii="仿宋_GB2312" w:eastAsia="仿宋_GB2312"/>
          <w:sz w:val="28"/>
          <w:szCs w:val="28"/>
          <w:lang w:eastAsia="zh-CN"/>
        </w:rPr>
      </w:pPr>
      <w:bookmarkStart w:id="154" w:name="_Toc23546"/>
      <w:bookmarkStart w:id="155" w:name="_Toc26752"/>
      <w:bookmarkStart w:id="156" w:name="_Toc20258"/>
      <w:bookmarkStart w:id="157" w:name="_Toc23273"/>
      <w:bookmarkStart w:id="158" w:name="_Toc29332"/>
      <w:bookmarkStart w:id="159" w:name="_Toc25856"/>
      <w:r>
        <w:rPr>
          <w:rFonts w:hint="eastAsia" w:ascii="仿宋_GB2312" w:eastAsia="仿宋_GB2312"/>
          <w:sz w:val="28"/>
          <w:szCs w:val="28"/>
          <w:lang w:eastAsia="zh-CN"/>
        </w:rPr>
        <w:t>（</w:t>
      </w:r>
      <w:r>
        <w:rPr>
          <w:rFonts w:hint="eastAsia" w:ascii="仿宋_GB2312" w:eastAsia="仿宋_GB2312"/>
          <w:sz w:val="28"/>
          <w:szCs w:val="28"/>
          <w:lang w:val="en-US" w:eastAsia="zh-CN"/>
        </w:rPr>
        <w:t>三</w:t>
      </w:r>
      <w:r>
        <w:rPr>
          <w:rFonts w:hint="eastAsia" w:ascii="仿宋_GB2312" w:eastAsia="仿宋_GB2312"/>
          <w:sz w:val="28"/>
          <w:szCs w:val="28"/>
          <w:lang w:eastAsia="zh-CN"/>
        </w:rPr>
        <w:t>）</w:t>
      </w:r>
      <w:r>
        <w:rPr>
          <w:rFonts w:hint="eastAsia" w:ascii="仿宋_GB2312" w:eastAsia="仿宋_GB2312"/>
          <w:sz w:val="28"/>
          <w:szCs w:val="28"/>
        </w:rPr>
        <w:t>积极进行国际交流，</w:t>
      </w:r>
      <w:bookmarkEnd w:id="154"/>
      <w:r>
        <w:rPr>
          <w:rFonts w:hint="eastAsia" w:ascii="仿宋_GB2312" w:eastAsia="仿宋_GB2312"/>
          <w:sz w:val="28"/>
          <w:szCs w:val="28"/>
        </w:rPr>
        <w:t>提升国际影响力</w:t>
      </w:r>
      <w:r>
        <w:rPr>
          <w:rFonts w:hint="eastAsia" w:ascii="仿宋_GB2312" w:eastAsia="仿宋_GB2312"/>
          <w:sz w:val="28"/>
          <w:szCs w:val="28"/>
          <w:lang w:eastAsia="zh-CN"/>
        </w:rPr>
        <w:t>，建设国际交流中心</w:t>
      </w:r>
      <w:bookmarkEnd w:id="155"/>
      <w:bookmarkEnd w:id="156"/>
      <w:bookmarkEnd w:id="157"/>
      <w:bookmarkEnd w:id="158"/>
      <w:bookmarkEnd w:id="159"/>
    </w:p>
    <w:p>
      <w:pPr>
        <w:numPr>
          <w:ilvl w:val="0"/>
          <w:numId w:val="0"/>
        </w:numPr>
        <w:ind w:firstLine="560" w:firstLineChars="200"/>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w:t>
      </w:r>
      <w:r>
        <w:rPr>
          <w:rFonts w:hint="eastAsia" w:ascii="仿宋_GB2312" w:eastAsia="仿宋_GB2312"/>
          <w:sz w:val="28"/>
          <w:szCs w:val="28"/>
        </w:rPr>
        <w:t>积极拓展中外合作。与德国工商大会上海代表处AHK合作开展“工程师助理”职业资格认证，“企业培训师”的培训，完善并规范认证标准和流程</w:t>
      </w:r>
      <w:r>
        <w:rPr>
          <w:rFonts w:hint="eastAsia" w:ascii="仿宋_GB2312" w:eastAsia="仿宋_GB2312"/>
          <w:sz w:val="28"/>
          <w:szCs w:val="28"/>
          <w:lang w:eastAsia="zh-CN"/>
        </w:rPr>
        <w:t>。</w:t>
      </w:r>
      <w:r>
        <w:rPr>
          <w:rFonts w:hint="eastAsia" w:ascii="仿宋_GB2312" w:eastAsia="仿宋_GB2312"/>
          <w:sz w:val="28"/>
          <w:szCs w:val="28"/>
        </w:rPr>
        <w:t xml:space="preserve"> 2017年，我校中德工程学院、电子技术与工程学院、通信与信息工程学院派专任教师6人前往兰茨胡特应用技术大学、帕绍技术员学校以及Deggendorf技术员学校商讨专业建设及课程标准对接事宜；经济与管理学院派6名专任教师前往英国巴斯斯帕大学开展联合教研，与英方教师共同探讨“市场营销与创业创新教育”培养方案。加拿大温哥华岛大学派2名教授来校进行专业研讨、洽谈专业合作事宜。学校国际合作的二级学院和专业数量不断得以扩充，国际合作有新的突破点。</w:t>
      </w:r>
      <w:r>
        <w:rPr>
          <w:rFonts w:hint="eastAsia" w:ascii="仿宋_GB2312" w:eastAsia="仿宋_GB2312"/>
          <w:sz w:val="28"/>
          <w:szCs w:val="28"/>
          <w:lang w:val="en-US" w:eastAsia="zh-CN"/>
        </w:rPr>
        <w:t>深化和拓展现有的中外交流与合作，推动中华文化的输出，扩充“双师双语型”教师队伍，扩大学历和非学历外国留学生规模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2.完善合作制度。提升学院国际交流管理水平。修订并完善外事管理制度，形成院级、二级国际交流常规机制。《上海电子信息职业技术学院教职工出国管理办法》、《上海电子信息职业技术学院因公出国（境）管理条例》、《上海电子信息职业技术学院留学生管理规定》等。</w:t>
      </w:r>
      <w:r>
        <w:rPr>
          <w:rFonts w:hint="eastAsia" w:ascii="仿宋_GB2312" w:eastAsia="仿宋_GB2312"/>
          <w:sz w:val="28"/>
          <w:szCs w:val="28"/>
        </w:rPr>
        <w:t>修订国际标准的专业人才培养方案及其课程标准，通过引进原版教材和数字化教学资源，进行二次整合，开发符合我国特点的教学资源</w:t>
      </w:r>
      <w:r>
        <w:rPr>
          <w:rFonts w:hint="eastAsia" w:ascii="仿宋_GB2312" w:eastAsia="仿宋_GB2312"/>
          <w:sz w:val="28"/>
          <w:szCs w:val="28"/>
          <w:lang w:eastAsia="zh-CN"/>
        </w:rPr>
        <w:t>。</w:t>
      </w:r>
      <w:r>
        <w:rPr>
          <w:rFonts w:hint="eastAsia" w:ascii="仿宋_GB2312" w:eastAsia="仿宋_GB2312"/>
          <w:sz w:val="28"/>
          <w:szCs w:val="28"/>
        </w:rPr>
        <w:t>完善德国专家对合作专业教学过程监控和考试结果审核的质量保障举措，筹备参加德国ASIIN和欧洲工程教育认证联盟的专业论证</w:t>
      </w:r>
      <w:r>
        <w:rPr>
          <w:rFonts w:hint="eastAsia" w:ascii="仿宋_GB2312" w:eastAsia="仿宋_GB2312"/>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3.</w:t>
      </w:r>
      <w:r>
        <w:rPr>
          <w:rFonts w:hint="eastAsia" w:ascii="仿宋_GB2312" w:eastAsia="仿宋_GB2312"/>
          <w:sz w:val="28"/>
          <w:szCs w:val="28"/>
        </w:rPr>
        <w:t>提升职教师资培养水平</w:t>
      </w:r>
      <w:r>
        <w:rPr>
          <w:rFonts w:hint="eastAsia" w:ascii="仿宋_GB2312" w:eastAsia="仿宋_GB2312"/>
          <w:sz w:val="28"/>
          <w:szCs w:val="28"/>
          <w:lang w:eastAsia="zh-CN"/>
        </w:rPr>
        <w:t>。</w:t>
      </w:r>
      <w:r>
        <w:rPr>
          <w:rFonts w:hint="eastAsia" w:ascii="仿宋_GB2312" w:eastAsia="仿宋_GB2312"/>
          <w:sz w:val="28"/>
          <w:szCs w:val="28"/>
        </w:rPr>
        <w:t>继续推进“中德合作上海中、高职院校骨干教师能力提升项目”</w:t>
      </w:r>
      <w:r>
        <w:rPr>
          <w:rFonts w:hint="eastAsia" w:ascii="仿宋_GB2312" w:eastAsia="仿宋_GB2312"/>
          <w:sz w:val="28"/>
          <w:szCs w:val="28"/>
          <w:lang w:eastAsia="zh-CN"/>
        </w:rPr>
        <w:t>。</w:t>
      </w:r>
    </w:p>
    <w:p>
      <w:pPr>
        <w:numPr>
          <w:ilvl w:val="0"/>
          <w:numId w:val="0"/>
        </w:numPr>
        <w:ind w:firstLine="560" w:firstLineChars="200"/>
        <w:outlineLvl w:val="9"/>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lang w:eastAsia="zh-CN"/>
        </w:rPr>
        <w:t>组织中德职教联盟成立大会，拓展国际交流的范围和幅度，构建国际交流的桥梁和平台。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1" w:firstLineChars="0"/>
        <w:jc w:val="both"/>
        <w:textAlignment w:val="auto"/>
        <w:outlineLvl w:val="1"/>
        <w:rPr>
          <w:rFonts w:ascii="仿宋_GB2312" w:eastAsia="仿宋_GB2312"/>
          <w:sz w:val="28"/>
          <w:szCs w:val="28"/>
        </w:rPr>
      </w:pPr>
      <w:bookmarkStart w:id="160" w:name="_Toc30198"/>
      <w:bookmarkStart w:id="161" w:name="_Toc1328"/>
      <w:bookmarkStart w:id="162" w:name="_Toc28888"/>
      <w:bookmarkStart w:id="163" w:name="_Toc15145"/>
      <w:bookmarkStart w:id="164" w:name="_Toc16137"/>
      <w:bookmarkStart w:id="165" w:name="_Toc10617"/>
      <w:r>
        <w:rPr>
          <w:rFonts w:hint="eastAsia" w:ascii="仿宋_GB2312" w:eastAsia="仿宋_GB2312"/>
          <w:sz w:val="28"/>
          <w:szCs w:val="28"/>
          <w:lang w:eastAsia="zh-CN"/>
        </w:rPr>
        <w:t>（</w:t>
      </w:r>
      <w:r>
        <w:rPr>
          <w:rFonts w:hint="eastAsia" w:ascii="仿宋_GB2312" w:eastAsia="仿宋_GB2312"/>
          <w:sz w:val="28"/>
          <w:szCs w:val="28"/>
          <w:lang w:val="en-US" w:eastAsia="zh-CN"/>
        </w:rPr>
        <w:t>四</w:t>
      </w:r>
      <w:r>
        <w:rPr>
          <w:rFonts w:hint="eastAsia" w:ascii="仿宋_GB2312" w:eastAsia="仿宋_GB2312"/>
          <w:sz w:val="28"/>
          <w:szCs w:val="28"/>
          <w:lang w:eastAsia="zh-CN"/>
        </w:rPr>
        <w:t>）</w:t>
      </w:r>
      <w:r>
        <w:rPr>
          <w:rFonts w:hint="eastAsia" w:ascii="仿宋_GB2312" w:eastAsia="仿宋_GB2312"/>
          <w:sz w:val="28"/>
          <w:szCs w:val="28"/>
        </w:rPr>
        <w:t>增强社会服务能力，服务国家发展战略</w:t>
      </w:r>
      <w:bookmarkEnd w:id="160"/>
      <w:bookmarkEnd w:id="161"/>
      <w:bookmarkEnd w:id="162"/>
      <w:bookmarkEnd w:id="163"/>
      <w:bookmarkEnd w:id="164"/>
      <w:r>
        <w:rPr>
          <w:rFonts w:hint="eastAsia" w:ascii="仿宋_GB2312" w:eastAsia="仿宋_GB2312"/>
          <w:sz w:val="28"/>
          <w:szCs w:val="28"/>
          <w:lang w:eastAsia="zh-CN"/>
        </w:rPr>
        <w:t>，建设社会需求服务中心</w:t>
      </w:r>
      <w:bookmarkEnd w:id="165"/>
    </w:p>
    <w:p>
      <w:pPr>
        <w:ind w:firstLine="560"/>
        <w:rPr>
          <w:rFonts w:ascii="仿宋_GB2312" w:eastAsia="仿宋_GB2312"/>
          <w:sz w:val="28"/>
          <w:szCs w:val="28"/>
        </w:rPr>
      </w:pPr>
      <w:r>
        <w:rPr>
          <w:rFonts w:hint="eastAsia" w:ascii="仿宋_GB2312" w:eastAsia="仿宋_GB2312"/>
          <w:sz w:val="28"/>
          <w:szCs w:val="28"/>
          <w:lang w:val="en-US" w:eastAsia="zh-CN"/>
        </w:rPr>
        <w:t>1.对口支援西部职业院校。</w:t>
      </w:r>
      <w:r>
        <w:rPr>
          <w:rFonts w:hint="eastAsia" w:ascii="仿宋_GB2312" w:eastAsia="仿宋_GB2312"/>
          <w:sz w:val="28"/>
          <w:szCs w:val="28"/>
        </w:rPr>
        <w:t>支持东中部地区高职院校（职教集团）对口支援西部职业院校；支援革命老区、西藏及四省藏区、新疆和集中连片特殊困难地区的专科高等职业院校提升办学基础能力和人才培养水平。</w:t>
      </w:r>
    </w:p>
    <w:p>
      <w:pPr>
        <w:ind w:firstLine="560"/>
        <w:rPr>
          <w:rFonts w:ascii="仿宋_GB2312" w:eastAsia="仿宋_GB2312"/>
          <w:sz w:val="28"/>
          <w:szCs w:val="28"/>
        </w:rPr>
      </w:pPr>
      <w:r>
        <w:rPr>
          <w:rFonts w:hint="eastAsia" w:ascii="仿宋_GB2312" w:eastAsia="仿宋_GB2312"/>
          <w:sz w:val="28"/>
          <w:szCs w:val="28"/>
        </w:rPr>
        <w:t>在与新疆喀什地区中等职业学校合作过程中，借助优势资源以及先进的办学理念、模式和经验、合作推动喀什地区中等职业学校职业教育建设与改革。与新疆克拉玛依市教育局合作中，学校与新疆克拉玛依市教育局签署了《共建新疆克拉玛依市职业教育战略合作协议、与克拉玛依职业技术学院签署了《上海电子信息职业教育技术学院 克拉玛依职业技术学院2017年职业教育合作工作计划》。在与浙江亚龙教育装备股份有限公司的合作过程中，共同开展东南亚地区东盟技能大赛技术培训框架协议，共同制定学校与浙江亚龙教育装备股份有限公司数控技术东盟技能大赛培训计划。在与摩洛哥默罕穆德五世大学科技学院的合作过程中，依靠摩洛哥丹吉尔科技城，打造“产教研”一体化的合作方案，开展“一带一路”的院校合作在通信、计算机、信息工程等专业开展职业培训、技能培养、语言学习、文化交流。</w:t>
      </w:r>
    </w:p>
    <w:p>
      <w:pPr>
        <w:ind w:firstLine="560"/>
        <w:rPr>
          <w:rFonts w:ascii="仿宋_GB2312" w:eastAsia="仿宋_GB2312"/>
          <w:b/>
          <w:bCs/>
          <w:sz w:val="28"/>
          <w:szCs w:val="28"/>
        </w:rPr>
      </w:pPr>
      <w:r>
        <w:rPr>
          <w:rFonts w:hint="eastAsia" w:ascii="仿宋_GB2312" w:eastAsia="仿宋_GB2312"/>
          <w:sz w:val="28"/>
          <w:szCs w:val="28"/>
          <w:lang w:val="en-US" w:eastAsia="zh-CN"/>
        </w:rPr>
        <w:t>2.积极拓展社会服务。</w:t>
      </w:r>
      <w:r>
        <w:rPr>
          <w:rFonts w:hint="eastAsia" w:ascii="仿宋_GB2312" w:eastAsia="仿宋_GB2312"/>
          <w:sz w:val="28"/>
          <w:szCs w:val="28"/>
        </w:rPr>
        <w:t>发挥学校教育资源优势，向社区开放服务，发展多样化的职工继续教育与培训，服务社区教育和终身学习。社区对接方面，已与社区教育培训部门建立密切的联系，分别是：奉城居委、洪庙居委、冯桥居委的社区教育部门；社区培训方面，举行一场社区培训；联席会议，举行一场联席会议。开展主题培训，形成品牌效果，奉城镇、四团镇等奉贤区所辖社区学院、老年大学进行对接，量身定制培训主题；2017年1-12月利用周四或周五下午开展4场主题培训，受到社区居民的欢迎。学校公益性培训服务6956人次，非学历培训到款额52.99万。</w:t>
      </w:r>
      <w:bookmarkStart w:id="166" w:name="_Toc8060"/>
      <w:bookmarkStart w:id="167" w:name="_Toc29865"/>
    </w:p>
    <w:p>
      <w:pPr>
        <w:ind w:firstLine="562" w:firstLineChars="200"/>
        <w:outlineLvl w:val="0"/>
        <w:rPr>
          <w:rFonts w:ascii="仿宋_GB2312" w:eastAsia="仿宋_GB2312"/>
          <w:b/>
          <w:bCs/>
          <w:sz w:val="28"/>
          <w:szCs w:val="28"/>
        </w:rPr>
      </w:pPr>
      <w:bookmarkStart w:id="168" w:name="_Toc5303"/>
      <w:bookmarkStart w:id="169" w:name="_Toc21844"/>
      <w:bookmarkStart w:id="170" w:name="_Toc22385"/>
      <w:bookmarkStart w:id="171" w:name="_Toc4580"/>
      <w:bookmarkStart w:id="172" w:name="_Toc12269"/>
      <w:bookmarkStart w:id="173" w:name="_Toc16885"/>
      <w:r>
        <w:rPr>
          <w:rFonts w:hint="eastAsia" w:ascii="仿宋_GB2312" w:eastAsia="仿宋_GB2312"/>
          <w:b/>
          <w:bCs/>
          <w:sz w:val="28"/>
          <w:szCs w:val="28"/>
        </w:rPr>
        <w:t>六、改进思路</w:t>
      </w:r>
      <w:bookmarkEnd w:id="166"/>
      <w:bookmarkEnd w:id="167"/>
      <w:bookmarkEnd w:id="168"/>
      <w:bookmarkEnd w:id="169"/>
      <w:bookmarkEnd w:id="170"/>
      <w:bookmarkEnd w:id="171"/>
      <w:bookmarkEnd w:id="172"/>
      <w:bookmarkEnd w:id="173"/>
    </w:p>
    <w:p>
      <w:pPr>
        <w:ind w:firstLine="560" w:firstLineChars="200"/>
        <w:outlineLvl w:val="1"/>
        <w:rPr>
          <w:rFonts w:ascii="仿宋_GB2312" w:eastAsia="仿宋_GB2312"/>
          <w:sz w:val="28"/>
          <w:szCs w:val="28"/>
        </w:rPr>
      </w:pPr>
      <w:bookmarkStart w:id="174" w:name="_Toc23472"/>
      <w:bookmarkStart w:id="175" w:name="_Toc29262"/>
      <w:bookmarkStart w:id="176" w:name="_Toc1510"/>
      <w:bookmarkStart w:id="177" w:name="_Toc7389"/>
      <w:bookmarkStart w:id="178" w:name="_Toc15208"/>
      <w:bookmarkStart w:id="179" w:name="_Toc2360"/>
      <w:bookmarkStart w:id="180" w:name="_Toc3577"/>
      <w:bookmarkStart w:id="181" w:name="_Toc2181"/>
      <w:r>
        <w:rPr>
          <w:rFonts w:hint="eastAsia" w:ascii="仿宋_GB2312" w:eastAsia="仿宋_GB2312"/>
          <w:sz w:val="28"/>
          <w:szCs w:val="28"/>
        </w:rPr>
        <w:t>（一）</w:t>
      </w:r>
      <w:bookmarkEnd w:id="174"/>
      <w:bookmarkEnd w:id="175"/>
      <w:r>
        <w:rPr>
          <w:rFonts w:hint="eastAsia" w:ascii="仿宋_GB2312" w:eastAsia="仿宋_GB2312"/>
          <w:sz w:val="28"/>
          <w:szCs w:val="28"/>
        </w:rPr>
        <w:t>加大执行力度</w:t>
      </w:r>
      <w:bookmarkEnd w:id="176"/>
      <w:bookmarkEnd w:id="177"/>
      <w:bookmarkEnd w:id="178"/>
      <w:bookmarkEnd w:id="179"/>
      <w:bookmarkEnd w:id="180"/>
      <w:bookmarkEnd w:id="181"/>
    </w:p>
    <w:p>
      <w:pPr>
        <w:ind w:firstLine="560" w:firstLineChars="200"/>
        <w:rPr>
          <w:rFonts w:ascii="仿宋_GB2312" w:eastAsia="仿宋_GB2312"/>
          <w:sz w:val="28"/>
          <w:szCs w:val="28"/>
        </w:rPr>
      </w:pPr>
      <w:r>
        <w:rPr>
          <w:rFonts w:hint="eastAsia" w:ascii="仿宋_GB2312" w:eastAsia="仿宋_GB2312"/>
          <w:sz w:val="28"/>
          <w:szCs w:val="28"/>
        </w:rPr>
        <w:t>学校根据实施计划的内容，结合学校的实际情况，制定出2018年度具体的项目（任务）实施方案，强化对项目（任务）经费的使用管理力度；针对瓶颈问题，出台针对性的管理制度与办法，确保项目（任务）建设顺利完成。</w:t>
      </w:r>
    </w:p>
    <w:p>
      <w:pPr>
        <w:ind w:firstLine="560" w:firstLineChars="200"/>
        <w:outlineLvl w:val="1"/>
        <w:rPr>
          <w:rFonts w:ascii="仿宋_GB2312" w:eastAsia="仿宋_GB2312"/>
          <w:sz w:val="28"/>
          <w:szCs w:val="28"/>
        </w:rPr>
      </w:pPr>
      <w:bookmarkStart w:id="182" w:name="_Toc29271"/>
      <w:bookmarkStart w:id="183" w:name="_Toc25084"/>
      <w:bookmarkStart w:id="184" w:name="_Toc21493"/>
      <w:bookmarkStart w:id="185" w:name="_Toc14510"/>
      <w:bookmarkStart w:id="186" w:name="_Toc6114"/>
      <w:bookmarkStart w:id="187" w:name="_Toc10082"/>
      <w:bookmarkStart w:id="188" w:name="_Toc4849"/>
      <w:bookmarkStart w:id="189" w:name="_Toc7093"/>
      <w:r>
        <w:rPr>
          <w:rFonts w:hint="eastAsia" w:ascii="仿宋_GB2312" w:eastAsia="仿宋_GB2312"/>
          <w:sz w:val="28"/>
          <w:szCs w:val="28"/>
        </w:rPr>
        <w:t>（二）强化</w:t>
      </w:r>
      <w:bookmarkEnd w:id="182"/>
      <w:bookmarkEnd w:id="183"/>
      <w:r>
        <w:rPr>
          <w:rFonts w:hint="eastAsia" w:ascii="仿宋_GB2312" w:eastAsia="仿宋_GB2312"/>
          <w:sz w:val="28"/>
          <w:szCs w:val="28"/>
        </w:rPr>
        <w:t>过程监控</w:t>
      </w:r>
      <w:bookmarkEnd w:id="184"/>
      <w:bookmarkEnd w:id="185"/>
      <w:bookmarkEnd w:id="186"/>
      <w:bookmarkEnd w:id="187"/>
      <w:bookmarkEnd w:id="188"/>
      <w:bookmarkEnd w:id="189"/>
    </w:p>
    <w:p>
      <w:pPr>
        <w:ind w:firstLine="560" w:firstLineChars="200"/>
        <w:rPr>
          <w:rFonts w:ascii="仿宋_GB2312" w:eastAsia="仿宋_GB2312"/>
          <w:sz w:val="28"/>
          <w:szCs w:val="28"/>
        </w:rPr>
      </w:pPr>
      <w:r>
        <w:rPr>
          <w:rFonts w:hint="eastAsia" w:ascii="仿宋_GB2312" w:eastAsia="仿宋_GB2312"/>
          <w:sz w:val="28"/>
          <w:szCs w:val="28"/>
        </w:rPr>
        <w:t>学校加强项目（任务）的日常指导、检查，在项目（任务）建设过程中，定期召开工作会议，发现问题及时协调解决。同时，将项目（任务）实施过程中的执行力度、实施效果等，作为部门年度绩效考核的重要指标之一。</w:t>
      </w:r>
    </w:p>
    <w:p>
      <w:pPr>
        <w:ind w:firstLine="560" w:firstLineChars="200"/>
        <w:rPr>
          <w:rFonts w:ascii="仿宋" w:hAnsi="仿宋" w:eastAsia="仿宋" w:cs="仿宋"/>
          <w:b/>
          <w:bCs/>
          <w:sz w:val="28"/>
          <w:szCs w:val="28"/>
        </w:rPr>
      </w:pPr>
      <w:r>
        <w:rPr>
          <w:rFonts w:hint="eastAsia" w:ascii="仿宋" w:hAnsi="仿宋" w:eastAsia="仿宋" w:cs="仿宋"/>
          <w:sz w:val="28"/>
          <w:szCs w:val="28"/>
        </w:rPr>
        <w:t>学校将持续推进创新发展行动计划，进一步提高学校的综合实力和办学水平，服务于区域经济发展需求，建成优质专科高职院校。</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Arial">
    <w:panose1 w:val="020B06040202020202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788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8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Pia+8FgIAABUEAAAOAAAAAAAA&#10;AAEAIAAAAB8BAABkcnMvZTJvRG9jLnhtbFBLBQYAAAAABgAGAFkBAACn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仿宋" w:hAnsi="仿宋" w:eastAsia="仿宋" w:cs="仿宋"/>
        <w:sz w:val="21"/>
        <w:szCs w:val="21"/>
      </w:rPr>
    </w:pPr>
    <w:r>
      <w:rPr>
        <w:rFonts w:hint="eastAsia" w:ascii="仿宋" w:hAnsi="仿宋" w:eastAsia="仿宋" w:cs="仿宋"/>
        <w:sz w:val="21"/>
        <w:szCs w:val="21"/>
      </w:rPr>
      <w:t>上海电子信息职业技术学院</w:t>
    </w:r>
  </w:p>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E2ACD"/>
    <w:multiLevelType w:val="singleLevel"/>
    <w:tmpl w:val="5A1E2ACD"/>
    <w:lvl w:ilvl="0" w:tentative="0">
      <w:start w:val="1"/>
      <w:numFmt w:val="chineseCounting"/>
      <w:suff w:val="nothing"/>
      <w:lvlText w:val="（%1）"/>
      <w:lvlJc w:val="left"/>
    </w:lvl>
  </w:abstractNum>
  <w:abstractNum w:abstractNumId="1">
    <w:nsid w:val="5A38B37F"/>
    <w:multiLevelType w:val="singleLevel"/>
    <w:tmpl w:val="5A38B37F"/>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308"/>
    <w:rsid w:val="000C3191"/>
    <w:rsid w:val="00135B35"/>
    <w:rsid w:val="00177F84"/>
    <w:rsid w:val="001B3DD0"/>
    <w:rsid w:val="001B725D"/>
    <w:rsid w:val="001D2DCA"/>
    <w:rsid w:val="002966BA"/>
    <w:rsid w:val="002D4E5D"/>
    <w:rsid w:val="003321D5"/>
    <w:rsid w:val="00382E1D"/>
    <w:rsid w:val="00383F50"/>
    <w:rsid w:val="00385923"/>
    <w:rsid w:val="003967C1"/>
    <w:rsid w:val="00540C7B"/>
    <w:rsid w:val="00584B9D"/>
    <w:rsid w:val="005A4771"/>
    <w:rsid w:val="005D2C61"/>
    <w:rsid w:val="005D6618"/>
    <w:rsid w:val="005E79C1"/>
    <w:rsid w:val="00646948"/>
    <w:rsid w:val="00671F57"/>
    <w:rsid w:val="006748FE"/>
    <w:rsid w:val="006A080B"/>
    <w:rsid w:val="006A78F0"/>
    <w:rsid w:val="006F734D"/>
    <w:rsid w:val="00722310"/>
    <w:rsid w:val="00776339"/>
    <w:rsid w:val="007D2AC9"/>
    <w:rsid w:val="00854308"/>
    <w:rsid w:val="0097362A"/>
    <w:rsid w:val="00995CF9"/>
    <w:rsid w:val="009B1066"/>
    <w:rsid w:val="009B62D7"/>
    <w:rsid w:val="009E5CBE"/>
    <w:rsid w:val="00A03A77"/>
    <w:rsid w:val="00A17EEC"/>
    <w:rsid w:val="00A67CA4"/>
    <w:rsid w:val="00AC2E6C"/>
    <w:rsid w:val="00B01607"/>
    <w:rsid w:val="00B57E9D"/>
    <w:rsid w:val="00B76AD0"/>
    <w:rsid w:val="00B906AD"/>
    <w:rsid w:val="00BB01BA"/>
    <w:rsid w:val="00BD3FDA"/>
    <w:rsid w:val="00C1356E"/>
    <w:rsid w:val="00CB501B"/>
    <w:rsid w:val="00CE7581"/>
    <w:rsid w:val="00D07F61"/>
    <w:rsid w:val="00D64F71"/>
    <w:rsid w:val="00DE3ABF"/>
    <w:rsid w:val="00E1310E"/>
    <w:rsid w:val="00E91EDC"/>
    <w:rsid w:val="00ED102E"/>
    <w:rsid w:val="00F710BF"/>
    <w:rsid w:val="00FF679B"/>
    <w:rsid w:val="020D3A72"/>
    <w:rsid w:val="02646A0E"/>
    <w:rsid w:val="028C1D50"/>
    <w:rsid w:val="02F252FF"/>
    <w:rsid w:val="02FD5125"/>
    <w:rsid w:val="030C1A82"/>
    <w:rsid w:val="038858BB"/>
    <w:rsid w:val="03A47A8E"/>
    <w:rsid w:val="04251390"/>
    <w:rsid w:val="04F13961"/>
    <w:rsid w:val="05616CF9"/>
    <w:rsid w:val="05772446"/>
    <w:rsid w:val="064E5A8A"/>
    <w:rsid w:val="06652A50"/>
    <w:rsid w:val="06671C27"/>
    <w:rsid w:val="06B33336"/>
    <w:rsid w:val="079D47A3"/>
    <w:rsid w:val="07BD0C03"/>
    <w:rsid w:val="083556FE"/>
    <w:rsid w:val="08722920"/>
    <w:rsid w:val="089A2D2E"/>
    <w:rsid w:val="08D30B5D"/>
    <w:rsid w:val="0920724A"/>
    <w:rsid w:val="09264502"/>
    <w:rsid w:val="09956B12"/>
    <w:rsid w:val="0A186C6C"/>
    <w:rsid w:val="0AD851BC"/>
    <w:rsid w:val="0B156834"/>
    <w:rsid w:val="0BA60444"/>
    <w:rsid w:val="0C8F52D0"/>
    <w:rsid w:val="0CBB2C38"/>
    <w:rsid w:val="0D9B6A43"/>
    <w:rsid w:val="0DEE651E"/>
    <w:rsid w:val="0E133068"/>
    <w:rsid w:val="0E2C4FD2"/>
    <w:rsid w:val="0EF6147B"/>
    <w:rsid w:val="0FD11678"/>
    <w:rsid w:val="11001520"/>
    <w:rsid w:val="1103023A"/>
    <w:rsid w:val="1110524F"/>
    <w:rsid w:val="11A224FE"/>
    <w:rsid w:val="11C331E2"/>
    <w:rsid w:val="121375E9"/>
    <w:rsid w:val="12431675"/>
    <w:rsid w:val="12890A3C"/>
    <w:rsid w:val="12B166D1"/>
    <w:rsid w:val="13076585"/>
    <w:rsid w:val="13AD69D3"/>
    <w:rsid w:val="13B963DC"/>
    <w:rsid w:val="13BD4832"/>
    <w:rsid w:val="14D060C6"/>
    <w:rsid w:val="156E059E"/>
    <w:rsid w:val="15C51C1F"/>
    <w:rsid w:val="15CD28AA"/>
    <w:rsid w:val="16091A77"/>
    <w:rsid w:val="162E1D24"/>
    <w:rsid w:val="16B062EE"/>
    <w:rsid w:val="16ED0629"/>
    <w:rsid w:val="17BC6670"/>
    <w:rsid w:val="182D7376"/>
    <w:rsid w:val="1847359E"/>
    <w:rsid w:val="18571004"/>
    <w:rsid w:val="185768F7"/>
    <w:rsid w:val="193B087A"/>
    <w:rsid w:val="19414F21"/>
    <w:rsid w:val="198A2183"/>
    <w:rsid w:val="19CE2C55"/>
    <w:rsid w:val="1C6C0AE1"/>
    <w:rsid w:val="1CEA5E9F"/>
    <w:rsid w:val="1D25382D"/>
    <w:rsid w:val="1D2F7392"/>
    <w:rsid w:val="1E02657D"/>
    <w:rsid w:val="1E5E3E28"/>
    <w:rsid w:val="1E842285"/>
    <w:rsid w:val="1E942427"/>
    <w:rsid w:val="1F2619A1"/>
    <w:rsid w:val="1FB77C40"/>
    <w:rsid w:val="1FE267EC"/>
    <w:rsid w:val="2051377E"/>
    <w:rsid w:val="21142C9A"/>
    <w:rsid w:val="21896D2A"/>
    <w:rsid w:val="21B640FC"/>
    <w:rsid w:val="229F1102"/>
    <w:rsid w:val="24A77DEE"/>
    <w:rsid w:val="255C6AB3"/>
    <w:rsid w:val="25676797"/>
    <w:rsid w:val="259E76DE"/>
    <w:rsid w:val="25A51A25"/>
    <w:rsid w:val="25AE4809"/>
    <w:rsid w:val="25EC6A2F"/>
    <w:rsid w:val="265E7F64"/>
    <w:rsid w:val="266655D2"/>
    <w:rsid w:val="26CE165C"/>
    <w:rsid w:val="273359BF"/>
    <w:rsid w:val="276456EE"/>
    <w:rsid w:val="27724E98"/>
    <w:rsid w:val="282A52E2"/>
    <w:rsid w:val="287419A0"/>
    <w:rsid w:val="290322F8"/>
    <w:rsid w:val="29345F72"/>
    <w:rsid w:val="29631B9F"/>
    <w:rsid w:val="2A046F56"/>
    <w:rsid w:val="2A420C9F"/>
    <w:rsid w:val="2A871433"/>
    <w:rsid w:val="2AA320D6"/>
    <w:rsid w:val="2AAA46B5"/>
    <w:rsid w:val="2AB922E0"/>
    <w:rsid w:val="2BA12E0B"/>
    <w:rsid w:val="2C1216D2"/>
    <w:rsid w:val="2C352601"/>
    <w:rsid w:val="2C7C02E1"/>
    <w:rsid w:val="2D375499"/>
    <w:rsid w:val="2E412D4F"/>
    <w:rsid w:val="2E78165A"/>
    <w:rsid w:val="2EBC34DB"/>
    <w:rsid w:val="2F873FAC"/>
    <w:rsid w:val="2FCC343D"/>
    <w:rsid w:val="2FD26C47"/>
    <w:rsid w:val="30132FB6"/>
    <w:rsid w:val="30741048"/>
    <w:rsid w:val="31317229"/>
    <w:rsid w:val="31463235"/>
    <w:rsid w:val="316D545A"/>
    <w:rsid w:val="317F138A"/>
    <w:rsid w:val="31E145AD"/>
    <w:rsid w:val="326E0F7E"/>
    <w:rsid w:val="327F7984"/>
    <w:rsid w:val="328B78E0"/>
    <w:rsid w:val="32C97808"/>
    <w:rsid w:val="330F4B13"/>
    <w:rsid w:val="334B6497"/>
    <w:rsid w:val="34423EE4"/>
    <w:rsid w:val="3489087A"/>
    <w:rsid w:val="34AD1FFC"/>
    <w:rsid w:val="3544410C"/>
    <w:rsid w:val="35EE28C5"/>
    <w:rsid w:val="360A0851"/>
    <w:rsid w:val="3616387C"/>
    <w:rsid w:val="36235034"/>
    <w:rsid w:val="37F95A33"/>
    <w:rsid w:val="381674C5"/>
    <w:rsid w:val="384D2971"/>
    <w:rsid w:val="386F5791"/>
    <w:rsid w:val="38F04FAC"/>
    <w:rsid w:val="397F2884"/>
    <w:rsid w:val="398963EF"/>
    <w:rsid w:val="39FC00F6"/>
    <w:rsid w:val="3AEF152B"/>
    <w:rsid w:val="3B6E4DAB"/>
    <w:rsid w:val="3B834C2F"/>
    <w:rsid w:val="3BED671B"/>
    <w:rsid w:val="3C0110D7"/>
    <w:rsid w:val="3C620B55"/>
    <w:rsid w:val="3C795831"/>
    <w:rsid w:val="3CAD7ABE"/>
    <w:rsid w:val="3CB84149"/>
    <w:rsid w:val="3D107241"/>
    <w:rsid w:val="3D676119"/>
    <w:rsid w:val="3DC83164"/>
    <w:rsid w:val="3E9439EF"/>
    <w:rsid w:val="3F436EAD"/>
    <w:rsid w:val="3FFF507D"/>
    <w:rsid w:val="40543DAA"/>
    <w:rsid w:val="418D4F9C"/>
    <w:rsid w:val="422E3DE7"/>
    <w:rsid w:val="42AE51A9"/>
    <w:rsid w:val="42B457B2"/>
    <w:rsid w:val="432C45BC"/>
    <w:rsid w:val="433C3F1E"/>
    <w:rsid w:val="43682B86"/>
    <w:rsid w:val="43FE03EF"/>
    <w:rsid w:val="440613E3"/>
    <w:rsid w:val="449327AB"/>
    <w:rsid w:val="449775E6"/>
    <w:rsid w:val="449F6C3E"/>
    <w:rsid w:val="454B5989"/>
    <w:rsid w:val="456610E3"/>
    <w:rsid w:val="45F055C7"/>
    <w:rsid w:val="45F73A6C"/>
    <w:rsid w:val="47013293"/>
    <w:rsid w:val="47393A7B"/>
    <w:rsid w:val="47517769"/>
    <w:rsid w:val="475C16A5"/>
    <w:rsid w:val="47AA0320"/>
    <w:rsid w:val="47B348B4"/>
    <w:rsid w:val="47DF4B34"/>
    <w:rsid w:val="488450AF"/>
    <w:rsid w:val="48B074C0"/>
    <w:rsid w:val="48F164A1"/>
    <w:rsid w:val="49737208"/>
    <w:rsid w:val="4A4D7B90"/>
    <w:rsid w:val="4A680219"/>
    <w:rsid w:val="4AAC5E4C"/>
    <w:rsid w:val="4B051BB1"/>
    <w:rsid w:val="4B23591A"/>
    <w:rsid w:val="4B686585"/>
    <w:rsid w:val="4BC42F74"/>
    <w:rsid w:val="4BF56CF6"/>
    <w:rsid w:val="4C00372C"/>
    <w:rsid w:val="4CBC5360"/>
    <w:rsid w:val="4D492AF6"/>
    <w:rsid w:val="4D8344FF"/>
    <w:rsid w:val="4DA14B22"/>
    <w:rsid w:val="4E181655"/>
    <w:rsid w:val="4E670EFB"/>
    <w:rsid w:val="4E682122"/>
    <w:rsid w:val="4E7F012E"/>
    <w:rsid w:val="4EB2003F"/>
    <w:rsid w:val="4ED664FE"/>
    <w:rsid w:val="4F13131F"/>
    <w:rsid w:val="4F903A73"/>
    <w:rsid w:val="4F9C6D79"/>
    <w:rsid w:val="52225F54"/>
    <w:rsid w:val="534A1B99"/>
    <w:rsid w:val="53644F88"/>
    <w:rsid w:val="537D2743"/>
    <w:rsid w:val="54507610"/>
    <w:rsid w:val="546A4F7B"/>
    <w:rsid w:val="553C5A12"/>
    <w:rsid w:val="555D4C1A"/>
    <w:rsid w:val="55A416E2"/>
    <w:rsid w:val="55FA2B35"/>
    <w:rsid w:val="563B5C48"/>
    <w:rsid w:val="56E75A61"/>
    <w:rsid w:val="57604334"/>
    <w:rsid w:val="57870321"/>
    <w:rsid w:val="57E04889"/>
    <w:rsid w:val="58BF65C9"/>
    <w:rsid w:val="58E17D50"/>
    <w:rsid w:val="59C62770"/>
    <w:rsid w:val="5A0026C1"/>
    <w:rsid w:val="5AE23FBF"/>
    <w:rsid w:val="5AED33FB"/>
    <w:rsid w:val="5AF55403"/>
    <w:rsid w:val="5BC812CE"/>
    <w:rsid w:val="5BC8389A"/>
    <w:rsid w:val="5BD67B5F"/>
    <w:rsid w:val="5BE753B2"/>
    <w:rsid w:val="5CD657B7"/>
    <w:rsid w:val="5D587B04"/>
    <w:rsid w:val="5D6637A2"/>
    <w:rsid w:val="5DA106C7"/>
    <w:rsid w:val="5E3A491A"/>
    <w:rsid w:val="5E513C0D"/>
    <w:rsid w:val="5E805A7B"/>
    <w:rsid w:val="5EE67F77"/>
    <w:rsid w:val="5F830563"/>
    <w:rsid w:val="5FC13C20"/>
    <w:rsid w:val="60A9616F"/>
    <w:rsid w:val="60F6409A"/>
    <w:rsid w:val="619651EE"/>
    <w:rsid w:val="61AE754E"/>
    <w:rsid w:val="62851D74"/>
    <w:rsid w:val="62AC14EC"/>
    <w:rsid w:val="63105C98"/>
    <w:rsid w:val="63B01F2B"/>
    <w:rsid w:val="63B75BB4"/>
    <w:rsid w:val="63DE50D0"/>
    <w:rsid w:val="643F6045"/>
    <w:rsid w:val="64A268D8"/>
    <w:rsid w:val="657305BC"/>
    <w:rsid w:val="670214CA"/>
    <w:rsid w:val="67274E9E"/>
    <w:rsid w:val="675C4C50"/>
    <w:rsid w:val="68135585"/>
    <w:rsid w:val="68280587"/>
    <w:rsid w:val="686A5D30"/>
    <w:rsid w:val="68AF5226"/>
    <w:rsid w:val="69AE495E"/>
    <w:rsid w:val="6A9B4B7E"/>
    <w:rsid w:val="6ADA69A5"/>
    <w:rsid w:val="6B043250"/>
    <w:rsid w:val="6B487197"/>
    <w:rsid w:val="6BB8571A"/>
    <w:rsid w:val="6BC82FF1"/>
    <w:rsid w:val="6C122AC7"/>
    <w:rsid w:val="6CEF783B"/>
    <w:rsid w:val="6D7E4DFD"/>
    <w:rsid w:val="6E8122C1"/>
    <w:rsid w:val="6F7A595E"/>
    <w:rsid w:val="6FFE602A"/>
    <w:rsid w:val="7069354D"/>
    <w:rsid w:val="71154EF0"/>
    <w:rsid w:val="71164FE3"/>
    <w:rsid w:val="715D12AE"/>
    <w:rsid w:val="72784F7C"/>
    <w:rsid w:val="72925725"/>
    <w:rsid w:val="72AF237D"/>
    <w:rsid w:val="72FA0ED8"/>
    <w:rsid w:val="730A0058"/>
    <w:rsid w:val="73C610FD"/>
    <w:rsid w:val="73D050B4"/>
    <w:rsid w:val="73D853BA"/>
    <w:rsid w:val="74377DD7"/>
    <w:rsid w:val="752547D1"/>
    <w:rsid w:val="75DD1FD4"/>
    <w:rsid w:val="76C30BAE"/>
    <w:rsid w:val="779A1567"/>
    <w:rsid w:val="77E1551C"/>
    <w:rsid w:val="78222DB1"/>
    <w:rsid w:val="78AB6DE4"/>
    <w:rsid w:val="78E8412F"/>
    <w:rsid w:val="79110C42"/>
    <w:rsid w:val="7912562D"/>
    <w:rsid w:val="79310B4D"/>
    <w:rsid w:val="79E26487"/>
    <w:rsid w:val="7A3C7AF0"/>
    <w:rsid w:val="7A8850A4"/>
    <w:rsid w:val="7A9041DE"/>
    <w:rsid w:val="7B8E583C"/>
    <w:rsid w:val="7BED2F8D"/>
    <w:rsid w:val="7CA81B09"/>
    <w:rsid w:val="7CFA206C"/>
    <w:rsid w:val="7D300E5B"/>
    <w:rsid w:val="7D5B5106"/>
    <w:rsid w:val="7D9E1D0D"/>
    <w:rsid w:val="7DF0320B"/>
    <w:rsid w:val="7E283922"/>
    <w:rsid w:val="7E9F0A08"/>
    <w:rsid w:val="7ECF651D"/>
    <w:rsid w:val="7EE4348F"/>
    <w:rsid w:val="7EF94BD7"/>
    <w:rsid w:val="7F0A1752"/>
    <w:rsid w:val="7F742A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eastAsia="宋体" w:cs="Times New Roman"/>
      <w:szCs w:val="20"/>
    </w:rPr>
  </w:style>
  <w:style w:type="paragraph" w:styleId="3">
    <w:name w:val="Balloon Text"/>
    <w:basedOn w:val="1"/>
    <w:link w:val="14"/>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9">
    <w:name w:val="List Paragraph"/>
    <w:basedOn w:val="1"/>
    <w:qFormat/>
    <w:uiPriority w:val="34"/>
    <w:pPr>
      <w:ind w:firstLine="420" w:firstLineChars="200"/>
    </w:pPr>
  </w:style>
  <w:style w:type="character" w:customStyle="1" w:styleId="10">
    <w:name w:val="font31"/>
    <w:basedOn w:val="7"/>
    <w:qFormat/>
    <w:uiPriority w:val="0"/>
    <w:rPr>
      <w:rFonts w:hint="eastAsia" w:ascii="宋体" w:hAnsi="宋体" w:eastAsia="宋体" w:cs="宋体"/>
      <w:color w:val="000000"/>
      <w:sz w:val="20"/>
      <w:szCs w:val="20"/>
      <w:u w:val="none"/>
    </w:rPr>
  </w:style>
  <w:style w:type="paragraph" w:customStyle="1" w:styleId="11">
    <w:name w:val="WPSOffice手动目录 1"/>
    <w:qFormat/>
    <w:uiPriority w:val="0"/>
    <w:rPr>
      <w:rFonts w:ascii="Times New Roman" w:hAnsi="Times New Roman" w:eastAsia="宋体" w:cs="Times New Roman"/>
      <w:lang w:val="en-US" w:eastAsia="zh-CN" w:bidi="ar-SA"/>
    </w:rPr>
  </w:style>
  <w:style w:type="paragraph" w:customStyle="1" w:styleId="1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3">
    <w:name w:val="font51"/>
    <w:basedOn w:val="7"/>
    <w:qFormat/>
    <w:uiPriority w:val="0"/>
    <w:rPr>
      <w:rFonts w:hint="eastAsia" w:ascii="宋体" w:hAnsi="宋体" w:eastAsia="宋体" w:cs="宋体"/>
      <w:b/>
      <w:color w:val="000000"/>
      <w:sz w:val="21"/>
      <w:szCs w:val="21"/>
      <w:u w:val="none"/>
    </w:rPr>
  </w:style>
  <w:style w:type="character" w:customStyle="1" w:styleId="14">
    <w:name w:val="批注框文本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0713472-3eb6-47f5-ab4f-abb151c2ac59}"/>
        <w:style w:val=""/>
        <w:category>
          <w:name w:val="常规"/>
          <w:gallery w:val="placeholder"/>
        </w:category>
        <w:types>
          <w:type w:val="bbPlcHdr"/>
        </w:types>
        <w:behaviors>
          <w:behavior w:val="content"/>
        </w:behaviors>
        <w:description w:val=""/>
        <w:guid w:val="{d0713472-3eb6-47f5-ab4f-abb151c2ac59}"/>
      </w:docPartPr>
      <w:docPartBody>
        <w:p>
          <w:r>
            <w:rPr>
              <w:color w:val="808080"/>
            </w:rPr>
            <w:t>单击此处输入文字。</w:t>
          </w:r>
        </w:p>
      </w:docPartBody>
    </w:docPart>
    <w:docPart>
      <w:docPartPr>
        <w:name w:val="{e056cb83-172d-4180-9b11-fd1960a69785}"/>
        <w:style w:val=""/>
        <w:category>
          <w:name w:val="常规"/>
          <w:gallery w:val="placeholder"/>
        </w:category>
        <w:types>
          <w:type w:val="bbPlcHdr"/>
        </w:types>
        <w:behaviors>
          <w:behavior w:val="content"/>
        </w:behaviors>
        <w:description w:val=""/>
        <w:guid w:val="{e056cb83-172d-4180-9b11-fd1960a69785}"/>
      </w:docPartPr>
      <w:docPartBody>
        <w:p>
          <w:r>
            <w:rPr>
              <w:color w:val="808080"/>
            </w:rPr>
            <w:t>单击此处输入文字。</w:t>
          </w:r>
        </w:p>
      </w:docPartBody>
    </w:docPart>
    <w:docPart>
      <w:docPartPr>
        <w:name w:val="{6b162824-cc84-4daf-b879-e8ab24030ca3}"/>
        <w:style w:val=""/>
        <w:category>
          <w:name w:val="常规"/>
          <w:gallery w:val="placeholder"/>
        </w:category>
        <w:types>
          <w:type w:val="bbPlcHdr"/>
        </w:types>
        <w:behaviors>
          <w:behavior w:val="content"/>
        </w:behaviors>
        <w:description w:val=""/>
        <w:guid w:val="{6b162824-cc84-4daf-b879-e8ab24030ca3}"/>
      </w:docPartPr>
      <w:docPartBody>
        <w:p>
          <w:r>
            <w:rPr>
              <w:color w:val="808080"/>
            </w:rPr>
            <w:t>单击此处输入文字。</w:t>
          </w:r>
        </w:p>
      </w:docPartBody>
    </w:docPart>
    <w:docPart>
      <w:docPartPr>
        <w:name w:val="{2b140b6a-7555-427c-a30d-b48dc5926486}"/>
        <w:style w:val=""/>
        <w:category>
          <w:name w:val="常规"/>
          <w:gallery w:val="placeholder"/>
        </w:category>
        <w:types>
          <w:type w:val="bbPlcHdr"/>
        </w:types>
        <w:behaviors>
          <w:behavior w:val="content"/>
        </w:behaviors>
        <w:description w:val=""/>
        <w:guid w:val="{2b140b6a-7555-427c-a30d-b48dc5926486}"/>
      </w:docPartPr>
      <w:docPartBody>
        <w:p>
          <w:r>
            <w:rPr>
              <w:color w:val="808080"/>
            </w:rPr>
            <w:t>单击此处输入文字。</w:t>
          </w:r>
        </w:p>
      </w:docPartBody>
    </w:docPart>
    <w:docPart>
      <w:docPartPr>
        <w:name w:val="{75ea1220-d4b6-41e8-94cd-1591f3d46591}"/>
        <w:style w:val=""/>
        <w:category>
          <w:name w:val="常规"/>
          <w:gallery w:val="placeholder"/>
        </w:category>
        <w:types>
          <w:type w:val="bbPlcHdr"/>
        </w:types>
        <w:behaviors>
          <w:behavior w:val="content"/>
        </w:behaviors>
        <w:description w:val=""/>
        <w:guid w:val="{75ea1220-d4b6-41e8-94cd-1591f3d46591}"/>
      </w:docPartPr>
      <w:docPartBody>
        <w:p>
          <w:r>
            <w:rPr>
              <w:color w:val="808080"/>
            </w:rPr>
            <w:t>单击此处输入文字。</w:t>
          </w:r>
        </w:p>
      </w:docPartBody>
    </w:docPart>
    <w:docPart>
      <w:docPartPr>
        <w:name w:val="{202d98ee-cefc-4a7d-899d-c2644207b3d5}"/>
        <w:style w:val=""/>
        <w:category>
          <w:name w:val="常规"/>
          <w:gallery w:val="placeholder"/>
        </w:category>
        <w:types>
          <w:type w:val="bbPlcHdr"/>
        </w:types>
        <w:behaviors>
          <w:behavior w:val="content"/>
        </w:behaviors>
        <w:description w:val=""/>
        <w:guid w:val="{202d98ee-cefc-4a7d-899d-c2644207b3d5}"/>
      </w:docPartPr>
      <w:docPartBody>
        <w:p>
          <w:r>
            <w:rPr>
              <w:color w:val="808080"/>
            </w:rPr>
            <w:t>单击此处输入文字。</w:t>
          </w:r>
        </w:p>
      </w:docPartBody>
    </w:docPart>
    <w:docPart>
      <w:docPartPr>
        <w:name w:val="{0b1cbcbd-2142-432c-b9f9-7adc1b575282}"/>
        <w:style w:val=""/>
        <w:category>
          <w:name w:val="常规"/>
          <w:gallery w:val="placeholder"/>
        </w:category>
        <w:types>
          <w:type w:val="bbPlcHdr"/>
        </w:types>
        <w:behaviors>
          <w:behavior w:val="content"/>
        </w:behaviors>
        <w:description w:val=""/>
        <w:guid w:val="{0b1cbcbd-2142-432c-b9f9-7adc1b575282}"/>
      </w:docPartPr>
      <w:docPartBody>
        <w:p>
          <w:r>
            <w:rPr>
              <w:color w:val="808080"/>
            </w:rPr>
            <w:t>单击此处输入文字。</w:t>
          </w:r>
        </w:p>
      </w:docPartBody>
    </w:docPart>
    <w:docPart>
      <w:docPartPr>
        <w:name w:val="{cd03c49c-2f50-4fbb-8cf4-732d92ed5af0}"/>
        <w:style w:val=""/>
        <w:category>
          <w:name w:val="常规"/>
          <w:gallery w:val="placeholder"/>
        </w:category>
        <w:types>
          <w:type w:val="bbPlcHdr"/>
        </w:types>
        <w:behaviors>
          <w:behavior w:val="content"/>
        </w:behaviors>
        <w:description w:val=""/>
        <w:guid w:val="{cd03c49c-2f50-4fbb-8cf4-732d92ed5af0}"/>
      </w:docPartPr>
      <w:docPartBody>
        <w:p>
          <w:r>
            <w:rPr>
              <w:color w:val="808080"/>
            </w:rPr>
            <w:t>单击此处输入文字。</w:t>
          </w:r>
        </w:p>
      </w:docPartBody>
    </w:docPart>
    <w:docPart>
      <w:docPartPr>
        <w:name w:val="{45d09fef-3a22-4a28-bc1f-0b7cf5a257f7}"/>
        <w:style w:val=""/>
        <w:category>
          <w:name w:val="常规"/>
          <w:gallery w:val="placeholder"/>
        </w:category>
        <w:types>
          <w:type w:val="bbPlcHdr"/>
        </w:types>
        <w:behaviors>
          <w:behavior w:val="content"/>
        </w:behaviors>
        <w:description w:val=""/>
        <w:guid w:val="{45d09fef-3a22-4a28-bc1f-0b7cf5a257f7}"/>
      </w:docPartPr>
      <w:docPartBody>
        <w:p>
          <w:r>
            <w:rPr>
              <w:color w:val="808080"/>
            </w:rPr>
            <w:t>单击此处输入文字。</w:t>
          </w:r>
        </w:p>
      </w:docPartBody>
    </w:docPart>
    <w:docPart>
      <w:docPartPr>
        <w:name w:val="{e47b3ed2-c732-4e90-b6e4-46aa19756f8d}"/>
        <w:style w:val=""/>
        <w:category>
          <w:name w:val="常规"/>
          <w:gallery w:val="placeholder"/>
        </w:category>
        <w:types>
          <w:type w:val="bbPlcHdr"/>
        </w:types>
        <w:behaviors>
          <w:behavior w:val="content"/>
        </w:behaviors>
        <w:description w:val=""/>
        <w:guid w:val="{e47b3ed2-c732-4e90-b6e4-46aa19756f8d}"/>
      </w:docPartPr>
      <w:docPartBody>
        <w:p>
          <w:r>
            <w:rPr>
              <w:color w:val="808080"/>
            </w:rPr>
            <w:t>单击此处输入文字。</w:t>
          </w:r>
        </w:p>
      </w:docPartBody>
    </w:docPart>
    <w:docPart>
      <w:docPartPr>
        <w:name w:val="{57304fd7-453e-49de-ad77-ab3d353cd3cf}"/>
        <w:style w:val=""/>
        <w:category>
          <w:name w:val="常规"/>
          <w:gallery w:val="placeholder"/>
        </w:category>
        <w:types>
          <w:type w:val="bbPlcHdr"/>
        </w:types>
        <w:behaviors>
          <w:behavior w:val="content"/>
        </w:behaviors>
        <w:description w:val=""/>
        <w:guid w:val="{57304fd7-453e-49de-ad77-ab3d353cd3cf}"/>
      </w:docPartPr>
      <w:docPartBody>
        <w:p>
          <w:r>
            <w:rPr>
              <w:color w:val="808080"/>
            </w:rPr>
            <w:t>单击此处输入文字。</w:t>
          </w:r>
        </w:p>
      </w:docPartBody>
    </w:docPart>
    <w:docPart>
      <w:docPartPr>
        <w:name w:val="{80fd190f-3f52-4978-81a9-cfc9768c85ec}"/>
        <w:style w:val=""/>
        <w:category>
          <w:name w:val="常规"/>
          <w:gallery w:val="placeholder"/>
        </w:category>
        <w:types>
          <w:type w:val="bbPlcHdr"/>
        </w:types>
        <w:behaviors>
          <w:behavior w:val="content"/>
        </w:behaviors>
        <w:description w:val=""/>
        <w:guid w:val="{80fd190f-3f52-4978-81a9-cfc9768c85ec}"/>
      </w:docPartPr>
      <w:docPartBody>
        <w:p>
          <w:r>
            <w:rPr>
              <w:color w:val="808080"/>
            </w:rPr>
            <w:t>单击此处输入文字。</w:t>
          </w:r>
        </w:p>
      </w:docPartBody>
    </w:docPart>
    <w:docPart>
      <w:docPartPr>
        <w:name w:val="{ede938d8-9513-48c9-a7d6-b2aa08d94d10}"/>
        <w:style w:val=""/>
        <w:category>
          <w:name w:val="常规"/>
          <w:gallery w:val="placeholder"/>
        </w:category>
        <w:types>
          <w:type w:val="bbPlcHdr"/>
        </w:types>
        <w:behaviors>
          <w:behavior w:val="content"/>
        </w:behaviors>
        <w:description w:val=""/>
        <w:guid w:val="{ede938d8-9513-48c9-a7d6-b2aa08d94d10}"/>
      </w:docPartPr>
      <w:docPartBody>
        <w:p>
          <w:r>
            <w:rPr>
              <w:color w:val="808080"/>
            </w:rPr>
            <w:t>单击此处输入文字。</w:t>
          </w:r>
        </w:p>
      </w:docPartBody>
    </w:docPart>
    <w:docPart>
      <w:docPartPr>
        <w:name w:val="{42d05b83-d767-4db8-8ce7-eed4cee795e1}"/>
        <w:style w:val=""/>
        <w:category>
          <w:name w:val="常规"/>
          <w:gallery w:val="placeholder"/>
        </w:category>
        <w:types>
          <w:type w:val="bbPlcHdr"/>
        </w:types>
        <w:behaviors>
          <w:behavior w:val="content"/>
        </w:behaviors>
        <w:description w:val=""/>
        <w:guid w:val="{42d05b83-d767-4db8-8ce7-eed4cee795e1}"/>
      </w:docPartPr>
      <w:docPartBody>
        <w:p>
          <w:r>
            <w:rPr>
              <w:color w:val="808080"/>
            </w:rPr>
            <w:t>单击此处输入文字。</w:t>
          </w:r>
        </w:p>
      </w:docPartBody>
    </w:docPart>
    <w:docPart>
      <w:docPartPr>
        <w:name w:val="{63ceee8a-4d12-4836-9623-bc4f29b161d1}"/>
        <w:style w:val=""/>
        <w:category>
          <w:name w:val="常规"/>
          <w:gallery w:val="placeholder"/>
        </w:category>
        <w:types>
          <w:type w:val="bbPlcHdr"/>
        </w:types>
        <w:behaviors>
          <w:behavior w:val="content"/>
        </w:behaviors>
        <w:description w:val=""/>
        <w:guid w:val="{63ceee8a-4d12-4836-9623-bc4f29b161d1}"/>
      </w:docPartPr>
      <w:docPartBody>
        <w:p>
          <w:r>
            <w:rPr>
              <w:color w:val="808080"/>
            </w:rPr>
            <w:t>单击此处输入文字。</w:t>
          </w:r>
        </w:p>
      </w:docPartBody>
    </w:docPart>
    <w:docPart>
      <w:docPartPr>
        <w:name w:val="{e1317512-f5b4-4967-b632-69a54cbcf24c}"/>
        <w:style w:val=""/>
        <w:category>
          <w:name w:val="常规"/>
          <w:gallery w:val="placeholder"/>
        </w:category>
        <w:types>
          <w:type w:val="bbPlcHdr"/>
        </w:types>
        <w:behaviors>
          <w:behavior w:val="content"/>
        </w:behaviors>
        <w:description w:val=""/>
        <w:guid w:val="{e1317512-f5b4-4967-b632-69a54cbcf24c}"/>
      </w:docPartPr>
      <w:docPartBody>
        <w:p>
          <w:r>
            <w:rPr>
              <w:color w:val="808080"/>
            </w:rPr>
            <w:t>单击此处输入文字。</w:t>
          </w:r>
        </w:p>
      </w:docPartBody>
    </w:docPart>
    <w:docPart>
      <w:docPartPr>
        <w:name w:val="{7188da96-957f-4eb0-b6d0-7c5d766e482e}"/>
        <w:style w:val=""/>
        <w:category>
          <w:name w:val="常规"/>
          <w:gallery w:val="placeholder"/>
        </w:category>
        <w:types>
          <w:type w:val="bbPlcHdr"/>
        </w:types>
        <w:behaviors>
          <w:behavior w:val="content"/>
        </w:behaviors>
        <w:description w:val=""/>
        <w:guid w:val="{7188da96-957f-4eb0-b6d0-7c5d766e482e}"/>
      </w:docPartPr>
      <w:docPartBody>
        <w:p>
          <w:r>
            <w:rPr>
              <w:color w:val="808080"/>
            </w:rPr>
            <w:t>单击此处输入文字。</w:t>
          </w:r>
        </w:p>
      </w:docPartBody>
    </w:docPart>
    <w:docPart>
      <w:docPartPr>
        <w:name w:val="{3f4f5dcc-a70b-4b01-8e09-7dde8977a468}"/>
        <w:style w:val=""/>
        <w:category>
          <w:name w:val="常规"/>
          <w:gallery w:val="placeholder"/>
        </w:category>
        <w:types>
          <w:type w:val="bbPlcHdr"/>
        </w:types>
        <w:behaviors>
          <w:behavior w:val="content"/>
        </w:behaviors>
        <w:description w:val=""/>
        <w:guid w:val="{3f4f5dcc-a70b-4b01-8e09-7dde8977a468}"/>
      </w:docPartPr>
      <w:docPartBody>
        <w:p>
          <w:r>
            <w:rPr>
              <w:color w:val="808080"/>
            </w:rPr>
            <w:t>单击此处输入文字。</w:t>
          </w:r>
        </w:p>
      </w:docPartBody>
    </w:docPart>
    <w:docPart>
      <w:docPartPr>
        <w:name w:val="{ba8733e5-d46c-44f8-811d-8ecff2952f87}"/>
        <w:style w:val=""/>
        <w:category>
          <w:name w:val="常规"/>
          <w:gallery w:val="placeholder"/>
        </w:category>
        <w:types>
          <w:type w:val="bbPlcHdr"/>
        </w:types>
        <w:behaviors>
          <w:behavior w:val="content"/>
        </w:behaviors>
        <w:description w:val=""/>
        <w:guid w:val="{ba8733e5-d46c-44f8-811d-8ecff2952f87}"/>
      </w:docPartPr>
      <w:docPartBody>
        <w:p>
          <w:r>
            <w:rPr>
              <w:color w:val="808080"/>
            </w:rPr>
            <w:t>单击此处输入文字。</w:t>
          </w:r>
        </w:p>
      </w:docPartBody>
    </w:docPart>
    <w:docPart>
      <w:docPartPr>
        <w:name w:val="{26ccad3d-f9cd-44ca-9200-c69ee9fffd53}"/>
        <w:style w:val=""/>
        <w:category>
          <w:name w:val="常规"/>
          <w:gallery w:val="placeholder"/>
        </w:category>
        <w:types>
          <w:type w:val="bbPlcHdr"/>
        </w:types>
        <w:behaviors>
          <w:behavior w:val="content"/>
        </w:behaviors>
        <w:description w:val=""/>
        <w:guid w:val="{26ccad3d-f9cd-44ca-9200-c69ee9fffd53}"/>
      </w:docPartPr>
      <w:docPartBody>
        <w:p>
          <w:r>
            <w:rPr>
              <w:color w:val="808080"/>
            </w:rPr>
            <w:t>单击此处输入文字。</w:t>
          </w:r>
        </w:p>
      </w:docPartBody>
    </w:docPart>
    <w:docPart>
      <w:docPartPr>
        <w:name w:val="{13836d9b-c0e5-4c11-bf81-f235b6ff8469}"/>
        <w:style w:val=""/>
        <w:category>
          <w:name w:val="常规"/>
          <w:gallery w:val="placeholder"/>
        </w:category>
        <w:types>
          <w:type w:val="bbPlcHdr"/>
        </w:types>
        <w:behaviors>
          <w:behavior w:val="content"/>
        </w:behaviors>
        <w:description w:val=""/>
        <w:guid w:val="{13836d9b-c0e5-4c11-bf81-f235b6ff8469}"/>
      </w:docPartPr>
      <w:docPartBody>
        <w:p>
          <w:r>
            <w:rPr>
              <w:color w:val="808080"/>
            </w:rPr>
            <w:t>单击此处输入文字。</w:t>
          </w:r>
        </w:p>
      </w:docPartBody>
    </w:docPart>
    <w:docPart>
      <w:docPartPr>
        <w:name w:val="{f377f9c6-5aa5-4ea7-a3c2-8476041a2f44}"/>
        <w:style w:val=""/>
        <w:category>
          <w:name w:val="常规"/>
          <w:gallery w:val="placeholder"/>
        </w:category>
        <w:types>
          <w:type w:val="bbPlcHdr"/>
        </w:types>
        <w:behaviors>
          <w:behavior w:val="content"/>
        </w:behaviors>
        <w:description w:val=""/>
        <w:guid w:val="{f377f9c6-5aa5-4ea7-a3c2-8476041a2f44}"/>
      </w:docPartPr>
      <w:docPartBody>
        <w:p>
          <w:r>
            <w:rPr>
              <w:color w:val="808080"/>
            </w:rPr>
            <w:t>单击此处输入文字。</w:t>
          </w:r>
        </w:p>
      </w:docPartBody>
    </w:docPart>
    <w:docPart>
      <w:docPartPr>
        <w:name w:val="{3d033598-c558-4982-a06e-243f428b413b}"/>
        <w:style w:val=""/>
        <w:category>
          <w:name w:val="常规"/>
          <w:gallery w:val="placeholder"/>
        </w:category>
        <w:types>
          <w:type w:val="bbPlcHdr"/>
        </w:types>
        <w:behaviors>
          <w:behavior w:val="content"/>
        </w:behaviors>
        <w:description w:val=""/>
        <w:guid w:val="{3d033598-c558-4982-a06e-243f428b413b}"/>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CF3C52"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3C3572"/>
    <w:rsid w:val="003C3572"/>
    <w:rsid w:val="006971F5"/>
    <w:rsid w:val="00B46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semiHidden="0" w:name="Default Paragraph Font"/>
    <w:lsdException w:qFormat="1" w:uiPriority="99" w:semiHidden="0"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1265</Words>
  <Characters>7213</Characters>
  <Lines>60</Lines>
  <Paragraphs>16</Paragraphs>
  <ScaleCrop>false</ScaleCrop>
  <LinksUpToDate>false</LinksUpToDate>
  <CharactersWithSpaces>8462</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ASUS</cp:lastModifiedBy>
  <dcterms:modified xsi:type="dcterms:W3CDTF">2017-12-20T13:22:14Z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