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微软雅黑" w:hAnsi="微软雅黑" w:eastAsia="微软雅黑" w:cs="微软雅黑"/>
          <w:b/>
          <w:sz w:val="32"/>
          <w:szCs w:val="36"/>
        </w:rPr>
      </w:pPr>
      <w:r>
        <w:rPr>
          <w:rFonts w:hint="eastAsia" w:ascii="微软雅黑" w:hAnsi="微软雅黑" w:eastAsia="微软雅黑" w:cs="微软雅黑"/>
          <w:b/>
          <w:sz w:val="32"/>
          <w:szCs w:val="36"/>
        </w:rPr>
        <w:t>202</w:t>
      </w:r>
      <w:r>
        <w:rPr>
          <w:rFonts w:ascii="微软雅黑" w:hAnsi="微软雅黑" w:eastAsia="微软雅黑" w:cs="微软雅黑"/>
          <w:b/>
          <w:sz w:val="32"/>
          <w:szCs w:val="36"/>
        </w:rPr>
        <w:t>3</w:t>
      </w:r>
      <w:r>
        <w:rPr>
          <w:rFonts w:hint="eastAsia" w:ascii="微软雅黑" w:hAnsi="微软雅黑" w:eastAsia="微软雅黑" w:cs="微软雅黑"/>
          <w:b/>
          <w:sz w:val="32"/>
          <w:szCs w:val="36"/>
        </w:rPr>
        <w:t>年度校级课题指南</w:t>
      </w: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一、产教融合与多元化办学研究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多方共建产教融合实体（如产业学院、实训基地、工程技术研究中心、协同创新中心、科创中心、职教集团等）的体制机制、运作模式及实践研究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基于多元化办学的院校内部管理实践研究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整合资源构建职业院校实践育人共同体研究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长三角职业教育一体化/产教一体化实践研究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中国特色现代学徒制</w:t>
      </w:r>
      <w:r>
        <w:rPr>
          <w:rFonts w:ascii="微软雅黑" w:hAnsi="微软雅黑" w:eastAsia="微软雅黑" w:cs="微软雅黑"/>
          <w:bCs/>
          <w:sz w:val="24"/>
          <w:szCs w:val="36"/>
        </w:rPr>
        <w:t>人才培养模式</w:t>
      </w:r>
      <w:r>
        <w:rPr>
          <w:rFonts w:hint="eastAsia" w:ascii="微软雅黑" w:hAnsi="微软雅黑" w:eastAsia="微软雅黑" w:cs="微软雅黑"/>
          <w:bCs/>
          <w:sz w:val="24"/>
          <w:szCs w:val="36"/>
        </w:rPr>
        <w:t>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职业教育国际合作办学体制、机制研究</w:t>
      </w:r>
    </w:p>
    <w:p>
      <w:pPr>
        <w:pStyle w:val="12"/>
        <w:numPr>
          <w:ilvl w:val="0"/>
          <w:numId w:val="1"/>
        </w:numPr>
        <w:ind w:firstLineChars="0"/>
        <w:rPr>
          <w:rFonts w:ascii="微软雅黑" w:hAnsi="微软雅黑" w:eastAsia="微软雅黑"/>
          <w:color w:val="376092" w:themeColor="accent1" w:themeShade="BF"/>
          <w:sz w:val="24"/>
        </w:rPr>
      </w:pPr>
      <w:r>
        <w:rPr>
          <w:rFonts w:ascii="微软雅黑" w:hAnsi="微软雅黑" w:eastAsia="微软雅黑" w:cs="微软雅黑"/>
          <w:bCs/>
          <w:sz w:val="24"/>
          <w:szCs w:val="36"/>
        </w:rPr>
        <w:t>产教融合</w:t>
      </w:r>
      <w:r>
        <w:rPr>
          <w:rFonts w:hint="eastAsia" w:ascii="微软雅黑" w:hAnsi="微软雅黑" w:eastAsia="微软雅黑" w:cs="微软雅黑"/>
          <w:bCs/>
          <w:sz w:val="24"/>
          <w:szCs w:val="36"/>
        </w:rPr>
        <w:t>促进</w:t>
      </w:r>
      <w:r>
        <w:rPr>
          <w:rFonts w:ascii="微软雅黑" w:hAnsi="微软雅黑" w:eastAsia="微软雅黑" w:cs="微软雅黑"/>
          <w:bCs/>
          <w:sz w:val="24"/>
          <w:szCs w:val="36"/>
        </w:rPr>
        <w:t>创新链</w:t>
      </w:r>
      <w:r>
        <w:rPr>
          <w:rFonts w:hint="eastAsia" w:ascii="微软雅黑" w:hAnsi="微软雅黑" w:eastAsia="微软雅黑" w:cs="微软雅黑"/>
          <w:bCs/>
          <w:sz w:val="24"/>
          <w:szCs w:val="36"/>
        </w:rPr>
        <w:t>、</w:t>
      </w:r>
      <w:r>
        <w:rPr>
          <w:rFonts w:ascii="微软雅黑" w:hAnsi="微软雅黑" w:eastAsia="微软雅黑" w:cs="微软雅黑"/>
          <w:bCs/>
          <w:sz w:val="24"/>
          <w:szCs w:val="36"/>
        </w:rPr>
        <w:t>产业链</w:t>
      </w:r>
      <w:r>
        <w:rPr>
          <w:rFonts w:hint="eastAsia" w:ascii="微软雅黑" w:hAnsi="微软雅黑" w:eastAsia="微软雅黑" w:cs="微软雅黑"/>
          <w:bCs/>
          <w:sz w:val="24"/>
          <w:szCs w:val="36"/>
        </w:rPr>
        <w:t>、</w:t>
      </w:r>
      <w:r>
        <w:rPr>
          <w:rFonts w:ascii="微软雅黑" w:hAnsi="微软雅黑" w:eastAsia="微软雅黑" w:cs="微软雅黑"/>
          <w:bCs/>
          <w:sz w:val="24"/>
          <w:szCs w:val="36"/>
        </w:rPr>
        <w:t>人才链深度融合研究</w:t>
      </w:r>
    </w:p>
    <w:p>
      <w:pPr>
        <w:numPr>
          <w:ilvl w:val="0"/>
          <w:numId w:val="2"/>
        </w:num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本科层次职业教育及教育评价改革研究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 xml:space="preserve">本科层次职业教育质量保障体系研究 </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本科层次职业教育评价改革研究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职业本科人才培养定位、培养模式等的研究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职业本科专业教学标准、课程标准研制与应用研究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职业本科科研内涵、定位及体系建设研究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职业本科教师队伍建设、管理队伍建设、学生培养等的研究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职业本科院校党团建设、思想政治教育工作等的研究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基于用人需求的职业本科学生的素质模型的描述</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新时代教育评价改革对高校内部考评体系和制度的影响及其要素研究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“破五唯”背景下职业本科学校高层次人才选聘培养机制、路径研究</w:t>
      </w:r>
    </w:p>
    <w:p>
      <w:pPr>
        <w:numPr>
          <w:ilvl w:val="0"/>
          <w:numId w:val="1"/>
        </w:numPr>
        <w:jc w:val="left"/>
        <w:rPr>
          <w:rFonts w:ascii="微软雅黑" w:hAnsi="微软雅黑" w:eastAsia="微软雅黑" w:cs="微软雅黑"/>
          <w:bCs/>
          <w:sz w:val="24"/>
          <w:szCs w:val="36"/>
        </w:rPr>
      </w:pPr>
      <w:r>
        <w:rPr>
          <w:rFonts w:ascii="微软雅黑" w:hAnsi="微软雅黑" w:eastAsia="微软雅黑" w:cs="微软雅黑"/>
          <w:bCs/>
          <w:sz w:val="24"/>
          <w:szCs w:val="36"/>
        </w:rPr>
        <w:t>职业本科专业群建设逻辑</w:t>
      </w:r>
      <w:r>
        <w:rPr>
          <w:rFonts w:hint="eastAsia" w:ascii="微软雅黑" w:hAnsi="微软雅黑" w:eastAsia="微软雅黑" w:cs="微软雅黑"/>
          <w:bCs/>
          <w:sz w:val="24"/>
          <w:szCs w:val="36"/>
        </w:rPr>
        <w:t>与</w:t>
      </w:r>
      <w:r>
        <w:rPr>
          <w:rFonts w:ascii="微软雅黑" w:hAnsi="微软雅黑" w:eastAsia="微软雅黑" w:cs="微软雅黑"/>
          <w:bCs/>
          <w:sz w:val="24"/>
          <w:szCs w:val="36"/>
        </w:rPr>
        <w:t>建设路径研究</w:t>
      </w:r>
    </w:p>
    <w:p>
      <w:pPr>
        <w:numPr>
          <w:ilvl w:val="0"/>
          <w:numId w:val="1"/>
        </w:numPr>
        <w:jc w:val="left"/>
        <w:rPr>
          <w:rFonts w:ascii="微软雅黑" w:hAnsi="微软雅黑" w:eastAsia="微软雅黑" w:cs="微软雅黑"/>
          <w:bCs/>
          <w:sz w:val="24"/>
          <w:szCs w:val="36"/>
        </w:rPr>
      </w:pPr>
      <w:r>
        <w:rPr>
          <w:rFonts w:ascii="微软雅黑" w:hAnsi="微软雅黑" w:eastAsia="微软雅黑" w:cs="微软雅黑"/>
          <w:bCs/>
          <w:sz w:val="24"/>
          <w:szCs w:val="36"/>
        </w:rPr>
        <w:t>数字化转型提升职业本科治理能力与服务效能研究</w:t>
      </w:r>
    </w:p>
    <w:p>
      <w:pPr>
        <w:pStyle w:val="12"/>
        <w:numPr>
          <w:ilvl w:val="0"/>
          <w:numId w:val="1"/>
        </w:numPr>
        <w:ind w:firstLineChars="0"/>
        <w:rPr>
          <w:rFonts w:ascii="微软雅黑" w:hAnsi="微软雅黑" w:eastAsia="微软雅黑"/>
          <w:sz w:val="24"/>
        </w:rPr>
      </w:pPr>
      <w:r>
        <w:rPr>
          <w:rFonts w:hint="eastAsia" w:ascii="微软雅黑" w:hAnsi="微软雅黑" w:eastAsia="微软雅黑"/>
          <w:sz w:val="24"/>
        </w:rPr>
        <w:t>类型教育视角下职业本科校园文化建设研究</w:t>
      </w: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三、学科专业（群）建设、教学改革与师资队伍建设研究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一流学科专业（群）评价与激励机制研究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职业教育国际通用的专业标准、课程标准和课程体系建设研究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数字经济时代技术技能人才供需精准对接机制研究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学分银行制度下学生课外学习、科研成果认证与转换研究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学校教材、专业教学资源库和在线开放精品课程的使用监测研究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职业院校在线教学与实践环节的质量监控与改进等问题研究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跨学科课程设计与组织实施研究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教师教学绩效评价及管理研究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职业院校基于五育并举的学生综合素质评价体系完善研究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职业院校与社会协同培育大学生创新创业能力机制研究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新一轮科技革命背景下教师培训规划与专业化发展研究</w:t>
      </w:r>
    </w:p>
    <w:p>
      <w:pPr>
        <w:pStyle w:val="12"/>
        <w:numPr>
          <w:ilvl w:val="0"/>
          <w:numId w:val="1"/>
        </w:numPr>
        <w:ind w:firstLineChars="0"/>
        <w:rPr>
          <w:rFonts w:ascii="微软雅黑" w:hAnsi="微软雅黑" w:eastAsia="微软雅黑"/>
          <w:sz w:val="24"/>
        </w:rPr>
      </w:pPr>
      <w:r>
        <w:rPr>
          <w:rFonts w:hint="eastAsia" w:ascii="微软雅黑" w:hAnsi="微软雅黑" w:eastAsia="微软雅黑"/>
          <w:sz w:val="24"/>
        </w:rPr>
        <w:t>数字化转型下职业院校“三教”改革研究</w:t>
      </w:r>
    </w:p>
    <w:p>
      <w:pPr>
        <w:pStyle w:val="12"/>
        <w:numPr>
          <w:ilvl w:val="0"/>
          <w:numId w:val="1"/>
        </w:numPr>
        <w:ind w:firstLineChars="0"/>
        <w:rPr>
          <w:rFonts w:ascii="微软雅黑" w:hAnsi="微软雅黑" w:eastAsia="微软雅黑"/>
          <w:sz w:val="24"/>
        </w:rPr>
      </w:pPr>
      <w:r>
        <w:rPr>
          <w:rFonts w:ascii="微软雅黑" w:hAnsi="微软雅黑" w:eastAsia="微软雅黑"/>
          <w:sz w:val="24"/>
        </w:rPr>
        <w:t>虚拟仿真实训基地</w:t>
      </w:r>
      <w:r>
        <w:rPr>
          <w:rFonts w:hint="eastAsia" w:ascii="微软雅黑" w:hAnsi="微软雅黑" w:eastAsia="微软雅黑"/>
          <w:sz w:val="24"/>
        </w:rPr>
        <w:t>建设路径、保障机制与成效研究</w:t>
      </w:r>
    </w:p>
    <w:p>
      <w:pPr>
        <w:pStyle w:val="12"/>
        <w:numPr>
          <w:ilvl w:val="0"/>
          <w:numId w:val="1"/>
        </w:numPr>
        <w:ind w:firstLineChars="0"/>
        <w:rPr>
          <w:rFonts w:hint="eastAsia" w:ascii="微软雅黑" w:hAnsi="微软雅黑" w:eastAsia="微软雅黑"/>
          <w:sz w:val="24"/>
        </w:rPr>
      </w:pPr>
      <w:r>
        <w:rPr>
          <w:rFonts w:hint="eastAsia" w:ascii="微软雅黑" w:hAnsi="微软雅黑" w:eastAsia="微软雅黑"/>
          <w:sz w:val="24"/>
        </w:rPr>
        <w:t>职业院校高质量教师教育体系建设研究</w:t>
      </w: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四、技术应用与社会服务研究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管理系统开发研究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专业技术应用研究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高职院校信息化创新与关键技术研究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教学设备、教学软件开发与应用研究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教师企业实践成果转化为教学资源及其评价的研究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校内实训基地服务地方经济的实践与研究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高职院校专业调整服务支撑区域产业升级改造的研究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职业教育高质量培训体系研究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大数据技术推进就业供需精准智能匹配的研究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职业院校科研成果转化路径、策略与机制研究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技术积累成果向教学资源转化模式、路径和评价机制研究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lang w:val="en-US" w:eastAsia="zh-CN"/>
        </w:rPr>
        <w:t>科研成果向教学转化的实践案例研究</w:t>
      </w:r>
    </w:p>
    <w:p>
      <w:pPr>
        <w:ind w:left="420"/>
        <w:rPr>
          <w:rFonts w:ascii="微软雅黑" w:hAnsi="微软雅黑" w:eastAsia="微软雅黑" w:cs="微软雅黑"/>
          <w:bCs/>
          <w:sz w:val="24"/>
          <w:szCs w:val="36"/>
        </w:rPr>
      </w:pP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五、思政、德育、宣传文化工作研究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将党的二十大精神融入立德树人全过程研究</w:t>
      </w:r>
    </w:p>
    <w:p>
      <w:pPr>
        <w:numPr>
          <w:ilvl w:val="0"/>
          <w:numId w:val="1"/>
        </w:numPr>
        <w:jc w:val="left"/>
        <w:rPr>
          <w:rFonts w:ascii="微软雅黑" w:hAnsi="微软雅黑" w:eastAsia="微软雅黑" w:cs="微软雅黑"/>
          <w:bCs/>
          <w:color w:val="auto"/>
          <w:sz w:val="24"/>
          <w:szCs w:val="36"/>
          <w:highlight w:val="none"/>
        </w:rPr>
      </w:pPr>
      <w:r>
        <w:rPr>
          <w:rFonts w:hint="eastAsia" w:ascii="微软雅黑" w:hAnsi="微软雅黑" w:eastAsia="微软雅黑"/>
          <w:color w:val="auto"/>
          <w:sz w:val="24"/>
          <w:szCs w:val="28"/>
          <w:highlight w:val="none"/>
        </w:rPr>
        <w:t>职业院校“大思政课”的学理研究与实践探索</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铸牢中华民族共同体意识教育研究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基于专业大类的课程思政教学指南研究与编制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职业院校辅导员核心能力建设与评价研究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全面落实意识形态工作责任制研究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职业院校工匠精神与技术技能培养有机统一的路径研究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职业院校思政课与专业课程协同育人机制研究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新时代高职院校学生思想、心理及关心的热点难点问题研究</w:t>
      </w:r>
    </w:p>
    <w:p>
      <w:pPr>
        <w:numPr>
          <w:ilvl w:val="0"/>
          <w:numId w:val="1"/>
        </w:numPr>
        <w:rPr>
          <w:rFonts w:ascii="微软雅黑" w:hAnsi="微软雅黑" w:eastAsia="微软雅黑" w:cs="微软雅黑"/>
          <w:bCs/>
          <w:color w:val="auto"/>
          <w:sz w:val="24"/>
          <w:szCs w:val="36"/>
          <w:highlight w:val="none"/>
          <w:u w:val="none"/>
        </w:rPr>
      </w:pPr>
      <w:r>
        <w:rPr>
          <w:rFonts w:hint="eastAsia" w:ascii="微软雅黑" w:hAnsi="微软雅黑" w:eastAsia="微软雅黑" w:cs="微软雅黑"/>
          <w:bCs/>
          <w:color w:val="auto"/>
          <w:sz w:val="24"/>
          <w:szCs w:val="36"/>
          <w:highlight w:val="none"/>
          <w:u w:val="none"/>
        </w:rPr>
        <w:t>以匠文化为核心的校园文化建设研究</w:t>
      </w:r>
    </w:p>
    <w:p>
      <w:pPr>
        <w:numPr>
          <w:numId w:val="0"/>
        </w:numPr>
        <w:ind w:left="420" w:leftChars="0"/>
        <w:rPr>
          <w:rFonts w:ascii="微软雅黑" w:hAnsi="微软雅黑" w:eastAsia="微软雅黑" w:cs="微软雅黑"/>
          <w:bCs/>
          <w:sz w:val="24"/>
          <w:szCs w:val="36"/>
        </w:rPr>
      </w:pP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六、党建、团建、工会工作研究</w:t>
      </w:r>
    </w:p>
    <w:p>
      <w:pPr>
        <w:numPr>
          <w:ilvl w:val="0"/>
          <w:numId w:val="1"/>
        </w:numPr>
        <w:ind w:left="0" w:firstLine="420" w:firstLineChars="175"/>
        <w:rPr>
          <w:rFonts w:ascii="微软雅黑" w:hAnsi="微软雅黑" w:eastAsia="微软雅黑" w:cs="微软雅黑"/>
          <w:bCs/>
          <w:sz w:val="24"/>
          <w:szCs w:val="36"/>
        </w:rPr>
      </w:pPr>
      <w:r>
        <w:rPr>
          <w:rFonts w:hint="eastAsia" w:ascii="微软雅黑" w:hAnsi="微软雅黑" w:eastAsia="微软雅黑" w:cs="微软雅黑"/>
          <w:bCs/>
          <w:sz w:val="24"/>
          <w:szCs w:val="36"/>
        </w:rPr>
        <w:t>全面贯彻新发展理念，推进党建高质量创新发展研究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推动构建高质量的职业本科党建工作体系研究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基层党组织做好党管人才工作评价体系研究</w:t>
      </w:r>
    </w:p>
    <w:p>
      <w:pPr>
        <w:numPr>
          <w:ilvl w:val="0"/>
          <w:numId w:val="1"/>
        </w:numPr>
        <w:ind w:left="0" w:firstLine="420" w:firstLineChars="175"/>
        <w:rPr>
          <w:rFonts w:ascii="微软雅黑" w:hAnsi="微软雅黑" w:eastAsia="微软雅黑" w:cs="微软雅黑"/>
          <w:bCs/>
          <w:sz w:val="24"/>
          <w:szCs w:val="36"/>
        </w:rPr>
      </w:pPr>
      <w:r>
        <w:rPr>
          <w:rFonts w:hint="eastAsia" w:ascii="微软雅黑" w:hAnsi="微软雅黑" w:eastAsia="微软雅黑" w:cs="微软雅黑"/>
          <w:bCs/>
          <w:sz w:val="24"/>
          <w:szCs w:val="36"/>
        </w:rPr>
        <w:t>推进大学生社区、生活园区党建工作研究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学生党建工作标准及测评体系研究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共青团组织育人机制研究（实践育人/服务育人/文化育人/网络育人等）</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基于共青团“第二课堂”成绩单制度的课程项目体系研究（记录评价体系/数据管理体系/工作运行体系等）</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共青团引领凝聚、组织动员、联系服务、培养青年的百年经验研究</w:t>
      </w:r>
    </w:p>
    <w:p>
      <w:pPr>
        <w:numPr>
          <w:ilvl w:val="0"/>
          <w:numId w:val="1"/>
        </w:numPr>
        <w:ind w:firstLine="4" w:firstLineChars="2"/>
        <w:rPr>
          <w:rFonts w:ascii="微软雅黑" w:hAnsi="微软雅黑" w:eastAsia="微软雅黑" w:cs="微软雅黑"/>
          <w:bCs/>
          <w:sz w:val="24"/>
          <w:szCs w:val="36"/>
        </w:rPr>
      </w:pPr>
      <w:r>
        <w:rPr>
          <w:rFonts w:ascii="微软雅黑" w:hAnsi="微软雅黑" w:eastAsia="微软雅黑" w:cs="微软雅黑"/>
          <w:bCs/>
          <w:sz w:val="24"/>
          <w:szCs w:val="36"/>
        </w:rPr>
        <w:t>高校治理现代化背景下教职工民主管理权利的实现路径研究</w:t>
      </w:r>
    </w:p>
    <w:p>
      <w:pPr>
        <w:numPr>
          <w:ilvl w:val="0"/>
          <w:numId w:val="1"/>
        </w:numPr>
        <w:ind w:firstLine="4" w:firstLineChars="2"/>
        <w:rPr>
          <w:rFonts w:ascii="微软雅黑" w:hAnsi="微软雅黑" w:eastAsia="微软雅黑" w:cs="微软雅黑"/>
          <w:bCs/>
          <w:sz w:val="24"/>
          <w:szCs w:val="36"/>
        </w:rPr>
      </w:pPr>
      <w:r>
        <w:rPr>
          <w:rFonts w:ascii="微软雅黑" w:hAnsi="微软雅黑" w:eastAsia="微软雅黑" w:cs="微软雅黑"/>
          <w:bCs/>
          <w:sz w:val="24"/>
          <w:szCs w:val="36"/>
        </w:rPr>
        <w:t>工会开展教职工心理健康服务工作现状调查、体系构建与实施路径研究</w:t>
      </w:r>
    </w:p>
    <w:p>
      <w:pPr>
        <w:outlineLvl w:val="0"/>
        <w:rPr>
          <w:rFonts w:ascii="微软雅黑" w:hAnsi="微软雅黑" w:eastAsia="微软雅黑" w:cs="微软雅黑"/>
          <w:b/>
          <w:sz w:val="28"/>
          <w:szCs w:val="36"/>
        </w:rPr>
      </w:pPr>
      <w:r>
        <w:rPr>
          <w:rFonts w:hint="eastAsia" w:ascii="微软雅黑" w:hAnsi="微软雅黑" w:eastAsia="微软雅黑" w:cs="微软雅黑"/>
          <w:b/>
          <w:sz w:val="28"/>
          <w:szCs w:val="36"/>
        </w:rPr>
        <w:t>七、管理工作研究</w:t>
      </w:r>
    </w:p>
    <w:p>
      <w:pPr>
        <w:numPr>
          <w:ilvl w:val="0"/>
          <w:numId w:val="1"/>
        </w:numPr>
        <w:ind w:firstLine="4" w:firstLineChars="2"/>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职业本科院校管理研究</w:t>
      </w:r>
    </w:p>
    <w:p>
      <w:pPr>
        <w:numPr>
          <w:ilvl w:val="0"/>
          <w:numId w:val="1"/>
        </w:numPr>
        <w:jc w:val="left"/>
        <w:rPr>
          <w:rFonts w:ascii="微软雅黑" w:hAnsi="微软雅黑" w:eastAsia="微软雅黑" w:cs="微软雅黑"/>
          <w:bCs/>
          <w:sz w:val="24"/>
          <w:szCs w:val="36"/>
        </w:rPr>
      </w:pPr>
      <w:r>
        <w:rPr>
          <w:rFonts w:hint="eastAsia" w:ascii="微软雅黑" w:hAnsi="微软雅黑" w:eastAsia="微软雅黑" w:cs="微软雅黑"/>
          <w:bCs/>
          <w:sz w:val="24"/>
          <w:szCs w:val="36"/>
        </w:rPr>
        <w:t>深化提升纪检监察工作综合效能研究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完善内部控制体系的研究与实践</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新时代职业院校教师职业道德评价指标体系研究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学风建设体制机制研究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职业院校学生参与技术研发的机制研究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学生创新创业型社团组织建设与管理模式研究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职业院校毕业生重点群体就业渠道拓展和精准帮扶研究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“一带一路”倡议下高职院校国际合作办学的专题研究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职业院校校园安全管理与应急处理机制研究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二级心理育人工作站培育高职院校大学生积极心理品质的路径探析</w:t>
      </w:r>
    </w:p>
    <w:p>
      <w:pPr>
        <w:pStyle w:val="12"/>
        <w:numPr>
          <w:ilvl w:val="0"/>
          <w:numId w:val="1"/>
        </w:numPr>
        <w:ind w:firstLineChars="0"/>
        <w:rPr>
          <w:rFonts w:ascii="微软雅黑" w:hAnsi="微软雅黑" w:eastAsia="微软雅黑"/>
          <w:sz w:val="24"/>
        </w:rPr>
      </w:pPr>
      <w:r>
        <w:rPr>
          <w:rFonts w:hint="eastAsia" w:ascii="微软雅黑" w:hAnsi="微软雅黑" w:eastAsia="微软雅黑"/>
          <w:sz w:val="24"/>
        </w:rPr>
        <w:t>类型教育背景下职业院校数字治理现代化研究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rPr>
        <w:t>职业院校国际学生培养、管理的问题与对策研究</w:t>
      </w:r>
    </w:p>
    <w:p>
      <w:pPr>
        <w:numPr>
          <w:ilvl w:val="0"/>
          <w:numId w:val="1"/>
        </w:numPr>
        <w:rPr>
          <w:rFonts w:ascii="微软雅黑" w:hAnsi="微软雅黑" w:eastAsia="微软雅黑" w:cs="微软雅黑"/>
          <w:bCs/>
          <w:sz w:val="24"/>
          <w:szCs w:val="36"/>
        </w:rPr>
      </w:pPr>
      <w:r>
        <w:rPr>
          <w:rFonts w:hint="eastAsia" w:ascii="微软雅黑" w:hAnsi="微软雅黑" w:eastAsia="微软雅黑" w:cs="微软雅黑"/>
          <w:bCs/>
          <w:sz w:val="24"/>
          <w:szCs w:val="36"/>
          <w:lang w:val="en-US" w:eastAsia="zh-CN"/>
        </w:rPr>
        <w:t>依法治校工作研究</w:t>
      </w:r>
      <w:bookmarkStart w:id="0" w:name="_GoBack"/>
      <w:bookmarkEnd w:id="0"/>
    </w:p>
    <w:p>
      <w:pPr>
        <w:outlineLvl w:val="0"/>
        <w:rPr>
          <w:rFonts w:ascii="微软雅黑" w:hAnsi="微软雅黑" w:eastAsia="微软雅黑" w:cs="微软雅黑"/>
          <w:b/>
          <w:bCs/>
          <w:sz w:val="28"/>
          <w:szCs w:val="36"/>
        </w:rPr>
      </w:pPr>
      <w:r>
        <w:rPr>
          <w:rFonts w:hint="eastAsia" w:ascii="微软雅黑" w:hAnsi="微软雅黑" w:eastAsia="微软雅黑" w:cs="微软雅黑"/>
          <w:b/>
          <w:bCs/>
          <w:sz w:val="28"/>
          <w:szCs w:val="36"/>
        </w:rPr>
        <w:t>八、自拟课题</w:t>
      </w:r>
    </w:p>
    <w:p>
      <w:pPr>
        <w:ind w:firstLine="560"/>
        <w:rPr>
          <w:rFonts w:ascii="微软雅黑" w:hAnsi="微软雅黑" w:eastAsia="微软雅黑" w:cs="微软雅黑"/>
          <w:bCs/>
          <w:sz w:val="28"/>
          <w:szCs w:val="36"/>
        </w:rPr>
      </w:pPr>
      <w:r>
        <w:rPr>
          <w:rFonts w:hint="eastAsia" w:ascii="微软雅黑" w:hAnsi="微软雅黑" w:eastAsia="微软雅黑" w:cs="微软雅黑"/>
          <w:bCs/>
          <w:sz w:val="28"/>
          <w:szCs w:val="36"/>
        </w:rPr>
        <w:t>根据自身专业特点、学校职业本科申建工作要求，结合地方经济发展和区域优势产业发展，自拟课题。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1D4315"/>
    <w:multiLevelType w:val="singleLevel"/>
    <w:tmpl w:val="EA1D4315"/>
    <w:lvl w:ilvl="0" w:tentative="0">
      <w:start w:val="2"/>
      <w:numFmt w:val="chineseCounting"/>
      <w:suff w:val="nothing"/>
      <w:lvlText w:val="%1、"/>
      <w:lvlJc w:val="left"/>
      <w:rPr>
        <w:rFonts w:hint="eastAsia"/>
      </w:rPr>
    </w:lvl>
  </w:abstractNum>
  <w:abstractNum w:abstractNumId="1">
    <w:nsid w:val="5E651126"/>
    <w:multiLevelType w:val="multilevel"/>
    <w:tmpl w:val="5E651126"/>
    <w:lvl w:ilvl="0" w:tentative="0">
      <w:start w:val="1"/>
      <w:numFmt w:val="decimal"/>
      <w:lvlText w:val="%1."/>
      <w:lvlJc w:val="left"/>
      <w:pPr>
        <w:ind w:left="420" w:firstLine="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NotTrackFormatting/>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xYTY3ZmMxNjZhMDYxOTliMTAyZGM0YzA3M2NhZjIifQ=="/>
  </w:docVars>
  <w:rsids>
    <w:rsidRoot w:val="00D56C6B"/>
    <w:rsid w:val="00066EE8"/>
    <w:rsid w:val="000960E1"/>
    <w:rsid w:val="00097BA9"/>
    <w:rsid w:val="000A22FD"/>
    <w:rsid w:val="000C6793"/>
    <w:rsid w:val="001D744D"/>
    <w:rsid w:val="00212FC4"/>
    <w:rsid w:val="00270C5F"/>
    <w:rsid w:val="00322A2E"/>
    <w:rsid w:val="00326D94"/>
    <w:rsid w:val="003328BB"/>
    <w:rsid w:val="00360FF9"/>
    <w:rsid w:val="003D522A"/>
    <w:rsid w:val="003E57CF"/>
    <w:rsid w:val="004173D4"/>
    <w:rsid w:val="00502381"/>
    <w:rsid w:val="00517477"/>
    <w:rsid w:val="00517A90"/>
    <w:rsid w:val="005218C1"/>
    <w:rsid w:val="0056708E"/>
    <w:rsid w:val="005B1998"/>
    <w:rsid w:val="006048B7"/>
    <w:rsid w:val="00615D29"/>
    <w:rsid w:val="00620D37"/>
    <w:rsid w:val="006739F1"/>
    <w:rsid w:val="006B5772"/>
    <w:rsid w:val="006D2F3D"/>
    <w:rsid w:val="006E62A1"/>
    <w:rsid w:val="006E6C72"/>
    <w:rsid w:val="006F5EEF"/>
    <w:rsid w:val="00717EBC"/>
    <w:rsid w:val="008D7AEA"/>
    <w:rsid w:val="008E5A4E"/>
    <w:rsid w:val="009777A9"/>
    <w:rsid w:val="009D4C92"/>
    <w:rsid w:val="009E3DBC"/>
    <w:rsid w:val="00A3250A"/>
    <w:rsid w:val="00A74737"/>
    <w:rsid w:val="00A82606"/>
    <w:rsid w:val="00A857C7"/>
    <w:rsid w:val="00AC5887"/>
    <w:rsid w:val="00B1725D"/>
    <w:rsid w:val="00B41F0B"/>
    <w:rsid w:val="00B50D54"/>
    <w:rsid w:val="00B52142"/>
    <w:rsid w:val="00BC6DA7"/>
    <w:rsid w:val="00D001EB"/>
    <w:rsid w:val="00D11ECF"/>
    <w:rsid w:val="00D1435C"/>
    <w:rsid w:val="00D225AE"/>
    <w:rsid w:val="00D31C20"/>
    <w:rsid w:val="00D56C6B"/>
    <w:rsid w:val="00D8234A"/>
    <w:rsid w:val="00D86ABB"/>
    <w:rsid w:val="00E40D42"/>
    <w:rsid w:val="00E62263"/>
    <w:rsid w:val="00E85C1E"/>
    <w:rsid w:val="00EC189A"/>
    <w:rsid w:val="00F37B27"/>
    <w:rsid w:val="00F47CBB"/>
    <w:rsid w:val="00F57FA6"/>
    <w:rsid w:val="017E3F99"/>
    <w:rsid w:val="02111777"/>
    <w:rsid w:val="02155C96"/>
    <w:rsid w:val="021B0A37"/>
    <w:rsid w:val="029E162E"/>
    <w:rsid w:val="036929EF"/>
    <w:rsid w:val="048B683A"/>
    <w:rsid w:val="05B84858"/>
    <w:rsid w:val="07260B75"/>
    <w:rsid w:val="0AB90D4C"/>
    <w:rsid w:val="0DB51DAB"/>
    <w:rsid w:val="0E6470BD"/>
    <w:rsid w:val="18994341"/>
    <w:rsid w:val="1A916CBD"/>
    <w:rsid w:val="1F275D13"/>
    <w:rsid w:val="20AB3E4E"/>
    <w:rsid w:val="22E25B5C"/>
    <w:rsid w:val="230A0132"/>
    <w:rsid w:val="235564FA"/>
    <w:rsid w:val="26E60166"/>
    <w:rsid w:val="2AD47D98"/>
    <w:rsid w:val="2B075DE6"/>
    <w:rsid w:val="2B4458B9"/>
    <w:rsid w:val="2F573BD3"/>
    <w:rsid w:val="2FA3135D"/>
    <w:rsid w:val="300D351D"/>
    <w:rsid w:val="30295295"/>
    <w:rsid w:val="31372CF7"/>
    <w:rsid w:val="35A6093C"/>
    <w:rsid w:val="383131D0"/>
    <w:rsid w:val="38B834BD"/>
    <w:rsid w:val="3A3B0313"/>
    <w:rsid w:val="3B33742D"/>
    <w:rsid w:val="40874BE1"/>
    <w:rsid w:val="47C6205A"/>
    <w:rsid w:val="49530A3B"/>
    <w:rsid w:val="51DA0DFC"/>
    <w:rsid w:val="536C7014"/>
    <w:rsid w:val="53D04D09"/>
    <w:rsid w:val="53D12E06"/>
    <w:rsid w:val="56461186"/>
    <w:rsid w:val="57480FB9"/>
    <w:rsid w:val="58A61433"/>
    <w:rsid w:val="596B01A7"/>
    <w:rsid w:val="5AC47AC5"/>
    <w:rsid w:val="6461574E"/>
    <w:rsid w:val="64631A18"/>
    <w:rsid w:val="66777F5B"/>
    <w:rsid w:val="682663A9"/>
    <w:rsid w:val="69612FB0"/>
    <w:rsid w:val="6B4C143C"/>
    <w:rsid w:val="6C71754B"/>
    <w:rsid w:val="74850A24"/>
    <w:rsid w:val="769B62DC"/>
    <w:rsid w:val="7D6A6A08"/>
    <w:rsid w:val="7E6D06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kern w:val="0"/>
      <w:sz w:val="24"/>
    </w:rPr>
  </w:style>
  <w:style w:type="character" w:styleId="8">
    <w:name w:val="FollowedHyperlink"/>
    <w:basedOn w:val="7"/>
    <w:qFormat/>
    <w:uiPriority w:val="0"/>
    <w:rPr>
      <w:color w:val="800080"/>
      <w:u w:val="none"/>
    </w:rPr>
  </w:style>
  <w:style w:type="character" w:styleId="9">
    <w:name w:val="Hyperlink"/>
    <w:basedOn w:val="7"/>
    <w:qFormat/>
    <w:uiPriority w:val="0"/>
    <w:rPr>
      <w:color w:val="0000FF"/>
      <w:u w:val="none"/>
    </w:rPr>
  </w:style>
  <w:style w:type="character" w:customStyle="1" w:styleId="10">
    <w:name w:val="页眉 字符"/>
    <w:basedOn w:val="7"/>
    <w:link w:val="4"/>
    <w:qFormat/>
    <w:uiPriority w:val="0"/>
    <w:rPr>
      <w:kern w:val="2"/>
      <w:sz w:val="18"/>
      <w:szCs w:val="18"/>
    </w:rPr>
  </w:style>
  <w:style w:type="character" w:customStyle="1" w:styleId="11">
    <w:name w:val="页脚 字符"/>
    <w:basedOn w:val="7"/>
    <w:link w:val="3"/>
    <w:qFormat/>
    <w:uiPriority w:val="0"/>
    <w:rPr>
      <w:kern w:val="2"/>
      <w:sz w:val="18"/>
      <w:szCs w:val="18"/>
    </w:rPr>
  </w:style>
  <w:style w:type="paragraph" w:styleId="12">
    <w:name w:val="List Paragraph"/>
    <w:basedOn w:val="1"/>
    <w:qFormat/>
    <w:uiPriority w:val="99"/>
    <w:pPr>
      <w:ind w:firstLine="420" w:firstLineChars="200"/>
    </w:pPr>
  </w:style>
  <w:style w:type="character" w:customStyle="1" w:styleId="13">
    <w:name w:val="批注框文本 字符"/>
    <w:basedOn w:val="7"/>
    <w:link w:val="2"/>
    <w:qFormat/>
    <w:uiPriority w:val="0"/>
    <w:rPr>
      <w:kern w:val="2"/>
      <w:sz w:val="18"/>
      <w:szCs w:val="18"/>
    </w:rPr>
  </w:style>
  <w:style w:type="paragraph" w:customStyle="1" w:styleId="14">
    <w:name w:val="Revision"/>
    <w:hidden/>
    <w:semiHidden/>
    <w:uiPriority w:val="99"/>
    <w:rPr>
      <w:rFonts w:ascii="Calibri" w:hAnsi="Calibri"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E39E37-65C5-40DC-A2CE-A2EF72460E0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1860</Words>
  <Characters>1863</Characters>
  <Lines>2</Lines>
  <Paragraphs>4</Paragraphs>
  <TotalTime>98</TotalTime>
  <ScaleCrop>false</ScaleCrop>
  <LinksUpToDate>false</LinksUpToDate>
  <CharactersWithSpaces>1864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2022-03-09T01:44:00Z</dcterms:created>
  <dc:creator>Administrator</dc:creator>
  <cp:lastModifiedBy>棒棒哒</cp:lastModifiedBy>
  <cp:lastPrinted>2020-01-13T02:31:00Z</cp:lastPrinted>
  <dcterms:modified xsi:type="dcterms:W3CDTF">2023-03-16T04:57:10Z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726A633E23734B0E9FCF49B9161B4D64</vt:lpwstr>
  </property>
</Properties>
</file>