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beforeLines="30" w:after="93" w:afterLines="30" w:line="300" w:lineRule="auto"/>
        <w:jc w:val="center"/>
        <w:rPr>
          <w:rFonts w:hint="eastAsia" w:ascii="仿宋" w:hAnsi="仿宋" w:eastAsia="仿宋"/>
          <w:b/>
          <w:sz w:val="28"/>
          <w:szCs w:val="24"/>
        </w:rPr>
      </w:pPr>
      <w:r>
        <w:rPr>
          <w:rFonts w:hint="eastAsia" w:ascii="仿宋" w:hAnsi="仿宋" w:eastAsia="仿宋"/>
          <w:b/>
          <w:sz w:val="28"/>
          <w:szCs w:val="24"/>
        </w:rPr>
        <w:t>2020年设艺学院</w:t>
      </w:r>
      <w:r>
        <w:rPr>
          <w:rFonts w:hint="eastAsia" w:ascii="仿宋" w:hAnsi="仿宋" w:eastAsia="仿宋"/>
          <w:b/>
          <w:sz w:val="28"/>
          <w:szCs w:val="24"/>
          <w:lang w:val="en-US" w:eastAsia="zh-CN"/>
        </w:rPr>
        <w:t xml:space="preserve"> </w:t>
      </w:r>
      <w:r>
        <w:rPr>
          <w:rFonts w:hint="eastAsia" w:ascii="仿宋" w:hAnsi="仿宋" w:eastAsia="仿宋"/>
          <w:b/>
          <w:sz w:val="28"/>
          <w:szCs w:val="24"/>
        </w:rPr>
        <w:t>实训基地建设情况</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2020年设艺学院在学校一流特色专业建设及内涵资金的支持下，重点建设了虚拟现实实训基地，在先进制造、VR影视及数媒影视后期合成等实训室建设方面加大了资金投入。有效支撑了数字媒体专业群各专业核心课程教学改革及资源共享平台建设。实训基地具体建设情况：</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改造更新实训室：材料动画实训室E211，吾尔强当代首饰设计工作室E213，学生工作室E213B及E103。</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530A2"/>
    <w:rsid w:val="159B5013"/>
    <w:rsid w:val="2F453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2020-12-29T07:23:00Z</dcterms:created>
  <dc:creator>朱瑶瑶</dc:creator>
  <cp:lastModifiedBy>朱瑶瑶</cp:lastModifiedBy>
  <dcterms:modified xsi:type="dcterms:W3CDTF">2020-12-29T07:26:25Z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