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689FD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32EB09B5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73E59353">
      <w:pPr>
        <w:jc w:val="center"/>
        <w:rPr>
          <w:rFonts w:ascii="华文中宋" w:hAnsi="华文中宋" w:eastAsia="华文中宋"/>
          <w:b/>
          <w:color w:val="FF0000"/>
          <w:spacing w:val="20"/>
          <w:sz w:val="52"/>
          <w:szCs w:val="52"/>
        </w:rPr>
      </w:pPr>
      <w:r>
        <w:rPr>
          <w:rFonts w:hint="eastAsia" w:ascii="华文中宋" w:hAnsi="华文中宋" w:eastAsia="华文中宋"/>
          <w:b/>
          <w:color w:val="FF0000"/>
          <w:spacing w:val="20"/>
          <w:sz w:val="52"/>
          <w:szCs w:val="52"/>
        </w:rPr>
        <w:t>上海电子信息职业技术学院文件</w:t>
      </w:r>
    </w:p>
    <w:p w14:paraId="495BC42C">
      <w:pPr>
        <w:rPr>
          <w:rFonts w:ascii="Times New Roman" w:hAnsi="Times New Roman"/>
          <w:sz w:val="24"/>
          <w:szCs w:val="24"/>
        </w:rPr>
      </w:pPr>
    </w:p>
    <w:p w14:paraId="639ACCEC">
      <w:pPr>
        <w:rPr>
          <w:rFonts w:ascii="Times New Roman" w:hAnsi="Times New Roman"/>
          <w:sz w:val="24"/>
          <w:szCs w:val="24"/>
        </w:rPr>
      </w:pPr>
    </w:p>
    <w:p w14:paraId="04CB23B5">
      <w:pPr>
        <w:spacing w:before="156" w:beforeLines="50"/>
        <w:ind w:firstLine="2240" w:firstLineChars="700"/>
        <w:jc w:val="both"/>
        <w:rPr>
          <w:rFonts w:hint="eastAsia" w:ascii="仿宋" w:hAnsi="仿宋" w:eastAsia="仿宋" w:cs="仿宋"/>
          <w:color w:val="000000"/>
          <w:kern w:val="0"/>
          <w:sz w:val="32"/>
          <w:szCs w:val="28"/>
        </w:rPr>
      </w:pPr>
      <w:bookmarkStart w:id="0" w:name="文件编号"/>
    </w:p>
    <w:p w14:paraId="016F884B">
      <w:pPr>
        <w:spacing w:before="156" w:beforeLines="50"/>
        <w:ind w:firstLine="2560" w:firstLineChars="800"/>
        <w:jc w:val="both"/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28"/>
        </w:rPr>
        <w:t>沪电信职院〔202</w:t>
      </w:r>
      <w:r>
        <w:rPr>
          <w:rFonts w:hint="eastAsia" w:ascii="仿宋" w:hAnsi="仿宋" w:eastAsia="仿宋" w:cs="仿宋"/>
          <w:color w:val="000000"/>
          <w:kern w:val="0"/>
          <w:sz w:val="32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28"/>
        </w:rPr>
        <w:t>〕</w:t>
      </w:r>
      <w:r>
        <w:rPr>
          <w:rFonts w:hint="eastAsia" w:ascii="仿宋" w:hAnsi="仿宋" w:eastAsia="仿宋" w:cs="仿宋"/>
          <w:color w:val="000000"/>
          <w:kern w:val="0"/>
          <w:sz w:val="32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color w:val="000000"/>
          <w:kern w:val="0"/>
          <w:sz w:val="32"/>
          <w:szCs w:val="28"/>
        </w:rPr>
        <w:t>号</w:t>
      </w:r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 xml:space="preserve"> </w:t>
      </w:r>
    </w:p>
    <w:p w14:paraId="09C5360A">
      <w:pPr>
        <w:rPr>
          <w:rFonts w:hint="eastAsia" w:eastAsia="黑体"/>
          <w:sz w:val="40"/>
          <w:szCs w:val="40"/>
          <w:highlight w:val="none"/>
        </w:rPr>
      </w:pPr>
      <w:r>
        <w:rPr>
          <w:rFonts w:hint="eastAsia" w:ascii="黑体" w:hAnsi="Times New Roman" w:eastAsia="黑体"/>
          <w:b/>
          <w:color w:val="FF0000"/>
          <w:sz w:val="28"/>
          <w:szCs w:val="28"/>
          <w:u w:val="thick"/>
        </w:rPr>
        <w:t xml:space="preserve">                                                          </w:t>
      </w:r>
      <w:r>
        <w:rPr>
          <w:rFonts w:hint="eastAsia" w:ascii="黑体" w:hAnsi="Times New Roman" w:eastAsia="黑体"/>
          <w:b/>
          <w:color w:val="FF0000"/>
          <w:sz w:val="28"/>
          <w:szCs w:val="28"/>
          <w:u w:val="thick"/>
          <w:lang w:val="en-US" w:eastAsia="zh-CN"/>
        </w:rPr>
        <w:t xml:space="preserve"> </w:t>
      </w:r>
      <w:bookmarkStart w:id="2" w:name="_GoBack"/>
      <w:bookmarkEnd w:id="2"/>
      <w:r>
        <w:rPr>
          <w:rFonts w:hint="eastAsia" w:ascii="黑体" w:hAnsi="Times New Roman" w:eastAsia="黑体"/>
          <w:b/>
          <w:color w:val="FF0000"/>
          <w:sz w:val="28"/>
          <w:szCs w:val="28"/>
          <w:u w:val="thick"/>
        </w:rPr>
        <w:t xml:space="preserve"> </w:t>
      </w:r>
    </w:p>
    <w:p w14:paraId="413ECF13">
      <w:pPr>
        <w:jc w:val="center"/>
        <w:rPr>
          <w:rFonts w:hint="eastAsia"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关于印</w:t>
      </w: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发《上海电子信息职业技术学院招标代理机构管理办法</w:t>
      </w:r>
      <w:r>
        <w:rPr>
          <w:rFonts w:hint="eastAsia" w:ascii="华文中宋" w:hAnsi="华文中宋" w:eastAsia="华文中宋"/>
          <w:b/>
          <w:kern w:val="0"/>
          <w:sz w:val="36"/>
          <w:szCs w:val="36"/>
          <w:lang w:eastAsia="zh-CN"/>
        </w:rPr>
        <w:t>》</w:t>
      </w: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的通知</w:t>
      </w:r>
    </w:p>
    <w:p w14:paraId="1826C494">
      <w:pPr>
        <w:spacing w:before="312" w:beforeLines="100" w:line="500" w:lineRule="exact"/>
        <w:rPr>
          <w:rFonts w:hint="eastAsia" w:eastAsia="仿宋_GB2312"/>
          <w:color w:val="000000"/>
          <w:kern w:val="0"/>
          <w:sz w:val="32"/>
          <w:szCs w:val="28"/>
        </w:rPr>
      </w:pPr>
      <w:r>
        <w:rPr>
          <w:rFonts w:hint="eastAsia" w:ascii="仿宋_GB2312" w:eastAsia="仿宋_GB2312"/>
          <w:color w:val="000000"/>
          <w:kern w:val="0"/>
          <w:sz w:val="32"/>
          <w:szCs w:val="28"/>
        </w:rPr>
        <w:t>各教学单位、职</w:t>
      </w:r>
      <w:r>
        <w:rPr>
          <w:rFonts w:hint="eastAsia" w:eastAsia="仿宋_GB2312"/>
          <w:color w:val="000000"/>
          <w:kern w:val="0"/>
          <w:sz w:val="32"/>
          <w:szCs w:val="28"/>
        </w:rPr>
        <w:t>能部门：</w:t>
      </w:r>
    </w:p>
    <w:p w14:paraId="19FF599C">
      <w:pPr>
        <w:jc w:val="center"/>
        <w:rPr>
          <w:rFonts w:eastAsia="仿宋_GB2312"/>
          <w:color w:val="000000"/>
          <w:kern w:val="0"/>
          <w:sz w:val="32"/>
          <w:szCs w:val="28"/>
        </w:rPr>
      </w:pPr>
      <w:r>
        <w:rPr>
          <w:rFonts w:hint="eastAsia" w:eastAsia="仿宋_GB2312"/>
          <w:color w:val="000000"/>
          <w:kern w:val="0"/>
          <w:sz w:val="32"/>
          <w:szCs w:val="28"/>
          <w:lang w:val="en-US" w:eastAsia="zh-CN"/>
        </w:rPr>
        <w:t xml:space="preserve">   </w:t>
      </w:r>
      <w:r>
        <w:rPr>
          <w:rFonts w:hint="eastAsia" w:eastAsia="仿宋_GB2312"/>
          <w:color w:val="000000"/>
          <w:kern w:val="0"/>
          <w:sz w:val="32"/>
          <w:szCs w:val="28"/>
        </w:rPr>
        <w:t>现将《上海电子信息职业技术学院招标代理机构管理办法》印发给你们，请结合本部门工作实际，认真研究执行。</w:t>
      </w:r>
    </w:p>
    <w:p w14:paraId="4DE8915E">
      <w:pPr>
        <w:ind w:firstLine="640" w:firstLineChars="200"/>
        <w:rPr>
          <w:rFonts w:eastAsia="仿宋_GB2312"/>
          <w:color w:val="000000"/>
          <w:kern w:val="0"/>
          <w:sz w:val="32"/>
          <w:szCs w:val="28"/>
        </w:rPr>
      </w:pPr>
    </w:p>
    <w:p w14:paraId="5929CC77">
      <w:pPr>
        <w:ind w:firstLine="645"/>
        <w:rPr>
          <w:rFonts w:hint="default" w:eastAsia="仿宋_GB2312"/>
          <w:color w:val="000000"/>
          <w:kern w:val="0"/>
          <w:sz w:val="32"/>
          <w:szCs w:val="28"/>
          <w:lang w:val="en-US" w:eastAsia="zh-CN"/>
        </w:rPr>
      </w:pPr>
      <w:r>
        <w:rPr>
          <w:rFonts w:hint="eastAsia" w:eastAsia="仿宋_GB2312"/>
          <w:color w:val="000000"/>
          <w:kern w:val="0"/>
          <w:sz w:val="32"/>
          <w:szCs w:val="28"/>
        </w:rPr>
        <w:t>附件：上海电子信息职业技术学院招标代理机构管理办法</w:t>
      </w:r>
    </w:p>
    <w:p w14:paraId="3B98CC35">
      <w:pPr>
        <w:spacing w:after="156" w:afterLines="50" w:line="360" w:lineRule="auto"/>
        <w:rPr>
          <w:rFonts w:eastAsia="仿宋_GB2312"/>
          <w:color w:val="000000"/>
          <w:kern w:val="0"/>
          <w:sz w:val="32"/>
          <w:szCs w:val="28"/>
        </w:rPr>
      </w:pPr>
    </w:p>
    <w:p w14:paraId="3497BB95">
      <w:pPr>
        <w:spacing w:line="560" w:lineRule="exact"/>
        <w:ind w:right="480"/>
        <w:rPr>
          <w:rFonts w:hint="eastAsia" w:ascii="仿宋_GB2312" w:hAnsi="宋体" w:eastAsia="仿宋_GB2312"/>
          <w:sz w:val="32"/>
          <w:szCs w:val="32"/>
        </w:rPr>
      </w:pPr>
    </w:p>
    <w:p w14:paraId="1D76E910">
      <w:pPr>
        <w:spacing w:line="560" w:lineRule="exact"/>
        <w:ind w:right="480" w:firstLine="3680" w:firstLineChars="1150"/>
        <w:rPr>
          <w:rFonts w:hint="eastAsia" w:ascii="仿宋_GB2312" w:hAnsi="宋体" w:eastAsia="仿宋_GB2312"/>
          <w:sz w:val="32"/>
          <w:szCs w:val="32"/>
        </w:rPr>
      </w:pPr>
    </w:p>
    <w:p w14:paraId="375E85E5">
      <w:pPr>
        <w:spacing w:line="560" w:lineRule="exact"/>
        <w:ind w:right="480" w:firstLine="3680" w:firstLineChars="115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上海电子信息职业技术学院</w:t>
      </w:r>
    </w:p>
    <w:p w14:paraId="1E791DDD">
      <w:pPr>
        <w:spacing w:line="560" w:lineRule="exact"/>
        <w:ind w:right="480" w:firstLine="4800" w:firstLineChars="15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p w14:paraId="4241C0B2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10FB1C2E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  <w:r>
        <w:rPr>
          <w:rFonts w:hint="eastAsia" w:ascii="黑体" w:hAnsi="黑体" w:eastAsia="黑体" w:cs="黑体"/>
          <w:sz w:val="32"/>
          <w:szCs w:val="32"/>
        </w:rPr>
        <w:t>上海电子信息职业技术学院招标代理机构管理办法</w:t>
      </w:r>
    </w:p>
    <w:p w14:paraId="5D934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第一章 总则</w:t>
      </w:r>
    </w:p>
    <w:p w14:paraId="1557E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第一条 为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进一步规范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学校招标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代理活动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，依据《中华人民共和国招标投标法》《中华人民共和国政府采购法》《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工程建设项目招标代理机构管理暂行办法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》等法律法规，以及《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上海电子信息职业技术采购管理办法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》，结合学校实际，制定本办法。</w:t>
      </w:r>
    </w:p>
    <w:p w14:paraId="1403C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第二条 本办法适用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于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学校货物、服务和工程招标采购项目代理机构（以下简称“代理机构 ”）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以及从业人员的监督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管理。</w:t>
      </w:r>
    </w:p>
    <w:p w14:paraId="70DF7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 xml:space="preserve">第三条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本办法所称代理机构是指依法设立、符合法律规定的从业条件、接受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委托从事各类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货物、服务和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工程建设项目招标代理业务的社会中介组织。 </w:t>
      </w:r>
    </w:p>
    <w:p w14:paraId="0CFD6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招标代理从业人员（以下简称“从业人员”）是指受聘于代理机构，从事招标代理业务的专业人员。</w:t>
      </w:r>
    </w:p>
    <w:p w14:paraId="66D5E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 xml:space="preserve">第四条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代理机构及其从业人员从事招标代理业务应当遵循公开、公平、公正和诚实信用原则，不得损害国家利益、社会公共利益和招标投标各方当事人的合法权益。</w:t>
      </w:r>
    </w:p>
    <w:p w14:paraId="19D39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 xml:space="preserve">第五条 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资产管理处在学校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采购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工作领导小组的领导下，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负责组织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对代理机构及从业人员的招标代理活动进行监督管理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。</w:t>
      </w:r>
    </w:p>
    <w:p w14:paraId="7634C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center"/>
        <w:textAlignment w:val="auto"/>
        <w:rPr>
          <w:rFonts w:hint="default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第二章 代理机构</w:t>
      </w:r>
      <w:r>
        <w:rPr>
          <w:rFonts w:hint="default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遴选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和管理</w:t>
      </w:r>
    </w:p>
    <w:p w14:paraId="61E98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六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 xml:space="preserve">条 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代理机构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通过遴选方式确定。每次遴选的服务期限一般不得超过3年，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</w:rPr>
        <w:t>具体数量根据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学校业务发展需要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确定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。</w:t>
      </w:r>
    </w:p>
    <w:p w14:paraId="0C189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  <w:lang w:val="en-US" w:eastAsia="zh-CN"/>
        </w:rPr>
        <w:t xml:space="preserve">第七条 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在服务期限内，学校与代理机构的服务合同一年一签，学校依据上一年度考核情况，与代理机构逐年续签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招标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代理合同。学校与代理机构签订合同应涵盖代理范围、服务内容、代理服务费用收取方式及标准等内容。</w:t>
      </w:r>
    </w:p>
    <w:p w14:paraId="7DB75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八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 xml:space="preserve">条 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招标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代理业务分配应坚持公平、公正、择优原则，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根据项目需求、代理机构及其从业人员能力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、项目数量、预算金额、服务质量等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因素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进行合理委派。</w:t>
      </w:r>
    </w:p>
    <w:p w14:paraId="4C7F5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 xml:space="preserve">第九条 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代理机构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应具备下列条件： </w:t>
      </w:r>
    </w:p>
    <w:p w14:paraId="1EFD6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具有独立承担民事责任的能力； </w:t>
      </w:r>
    </w:p>
    <w:p w14:paraId="139ED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（二）具备独立办公场所和编制招标文件、存储招标资料等所需要的办公条件； </w:t>
      </w:r>
    </w:p>
    <w:p w14:paraId="3350F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（三）拥有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足量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熟悉招标投标法律法规、具备编制招标文件和组织评标等专业能力的从业人员； </w:t>
      </w:r>
    </w:p>
    <w:p w14:paraId="74C12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（四）代理机构、法定代表人及从业人员未被禁止从事招标代理业务； </w:t>
      </w:r>
    </w:p>
    <w:p w14:paraId="1ED18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（五）具备完善的内部管理制度； </w:t>
      </w:r>
    </w:p>
    <w:p w14:paraId="6AF84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（六）法律、法规、规章规定的其他情形。</w:t>
      </w:r>
    </w:p>
    <w:p w14:paraId="67300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第十条 代理机构应提供以下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招标代理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服务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：</w:t>
      </w:r>
    </w:p>
    <w:p w14:paraId="7FEE0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提供招标前期咨询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；</w:t>
      </w:r>
    </w:p>
    <w:p w14:paraId="0FB32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</w:rPr>
        <w:t>审核采购需求，确保采购需求完整、明确，资格条件、技术、服务、安全等要求符合法律法规以及政府采购政策的规定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  <w:lang w:val="en-US" w:eastAsia="zh-CN"/>
        </w:rPr>
        <w:t>；</w:t>
      </w:r>
    </w:p>
    <w:p w14:paraId="4CC16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拟订招标方案，编制招标文件或者资格预审文件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；</w:t>
      </w:r>
    </w:p>
    <w:p w14:paraId="05EBE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（四）根据项目需要，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组织投标人踏勘现场并答疑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；</w:t>
      </w:r>
    </w:p>
    <w:p w14:paraId="21654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五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组织开标、评标，协助定标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；</w:t>
      </w:r>
    </w:p>
    <w:p w14:paraId="5FB02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六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根据需要，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协助合同签订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；</w:t>
      </w:r>
    </w:p>
    <w:p w14:paraId="68F63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七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协助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或根据授权处理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投标人、潜在投标人或者其他利害关系人提出的异议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；</w:t>
      </w:r>
    </w:p>
    <w:p w14:paraId="33EC2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八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接受、配合上级主管部门或学校监督检查，处理投诉、法律纠纷等，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如实反映招标投标事实情况，准确全面提供招标投标资料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；</w:t>
      </w:r>
    </w:p>
    <w:p w14:paraId="054D8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（九）根据法律法规规定保存、移交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招标投标资料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；</w:t>
      </w:r>
    </w:p>
    <w:p w14:paraId="606E2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（十）其他委托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服务。 </w:t>
      </w:r>
    </w:p>
    <w:p w14:paraId="26BA8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shd w:val="clear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第十一条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代理机构开展招标代理业务，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应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实行项目负责人制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</w:rPr>
        <w:t>项目负责人应为代理机构法定代表人授权的机构内专职人员，对代理项目实行全过程管理。</w:t>
      </w:r>
    </w:p>
    <w:p w14:paraId="4AC59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 xml:space="preserve">第十二条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代理机构应在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委托的范围内办理招标事宜，并就委托事宜遵守法律、法规、规章以及行政规范性文件关于招标人的规定。 </w:t>
      </w:r>
    </w:p>
    <w:p w14:paraId="51A78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违反法律、法规、规章或行政规范性文件要求提出委托事宜的，代理机构有权拒绝。</w:t>
      </w:r>
    </w:p>
    <w:p w14:paraId="374AF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第十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条 代理机构受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委托处理异议的，代理机构应在作出异议答复前，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应将相关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异议人、异议事由、拟答复结论及相关法律风险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告知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</w:t>
      </w:r>
    </w:p>
    <w:p w14:paraId="4C84A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第十四条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严禁代理机构及其从业人员从事下列活动： </w:t>
      </w:r>
    </w:p>
    <w:p w14:paraId="1DB9F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（一）泄露应保密的与招标投标活动有关的情况和资料； </w:t>
      </w:r>
    </w:p>
    <w:p w14:paraId="313D6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（二）通过向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有关工作人员行贿、提供回扣或给予其他不正当利益等手段承接招标代理业务； </w:t>
      </w:r>
    </w:p>
    <w:p w14:paraId="1F9D4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（三）与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有关工作人员串通，规避招标，设置不合理条件限制、排斥潜在投标人或者投标人； </w:t>
      </w:r>
    </w:p>
    <w:p w14:paraId="24719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（四）在所代理的招标项目中投标、代理投标； </w:t>
      </w:r>
    </w:p>
    <w:p w14:paraId="616A5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（五）为特定投标人或特定潜在投标人谋取中标创造条件或提供方便； </w:t>
      </w:r>
    </w:p>
    <w:p w14:paraId="79DFE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（六）向评标专家行贿； </w:t>
      </w:r>
    </w:p>
    <w:p w14:paraId="494F1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（七）引导评标专家作出倾向或排斥特定投标人的评标意见； </w:t>
      </w:r>
    </w:p>
    <w:p w14:paraId="7D83F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（八）其他串通损害国家利益、社会公共利益或他人合法权益的活动。 </w:t>
      </w:r>
    </w:p>
    <w:p w14:paraId="77175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center"/>
        <w:textAlignment w:val="auto"/>
        <w:rPr>
          <w:rFonts w:hint="default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章 代理机构考核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评价</w:t>
      </w:r>
    </w:p>
    <w:p w14:paraId="537D0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第十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五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 xml:space="preserve">条 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资产管理处负责组织代理机构考核评价工作。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考核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评价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应遵循统一标准、客观公正、实事求是的原则。</w:t>
      </w:r>
    </w:p>
    <w:p w14:paraId="2B3E0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第十六条 代理机构年度考核评价实行百分制，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  <w:lang w:val="en-US" w:eastAsia="zh-CN"/>
        </w:rPr>
        <w:t>考核评价结果作为委派招标代理业务的重要依据。</w:t>
      </w:r>
    </w:p>
    <w:p w14:paraId="3713E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第十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七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 xml:space="preserve">条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存在下列情形之一的代理机构，学校不再委派招标代理业务：</w:t>
      </w:r>
    </w:p>
    <w:p w14:paraId="10BE3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年度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考核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评价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结果低于80分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；</w:t>
      </w:r>
    </w:p>
    <w:p w14:paraId="23E06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二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代理机构及其从业人员办理学校招标事宜时，具有本办法第十四条规定的情形，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给学校造成重大损失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或被上级主管部门行政处罚；</w:t>
      </w:r>
    </w:p>
    <w:p w14:paraId="65BD9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查实存在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隐瞒发现问题、有弄虚作假等不诚实行为；</w:t>
      </w:r>
    </w:p>
    <w:p w14:paraId="69CA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）将委托项目外包给其他代理机构；</w:t>
      </w:r>
    </w:p>
    <w:p w14:paraId="118F7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五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）对有关行政监督部门依法责令改正的决定拒不执行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；</w:t>
      </w:r>
    </w:p>
    <w:p w14:paraId="08E21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六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法律法规禁止的其他行为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。</w:t>
      </w:r>
    </w:p>
    <w:p w14:paraId="6D436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 xml:space="preserve">第十八条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</w:rPr>
        <w:t>代理机构在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办理学校招标事宜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</w:rPr>
        <w:t>中，存在除第十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  <w:lang w:val="en-US" w:eastAsia="zh-CN"/>
        </w:rPr>
        <w:t>七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</w:rPr>
        <w:t>条以外其他不规范行为的，视情节轻重暂停其三个月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  <w:lang w:val="en-US" w:eastAsia="zh-CN"/>
        </w:rPr>
        <w:t>及以上招标代理服务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</w:rPr>
        <w:t>资格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shd w:val="clear"/>
          <w:lang w:eastAsia="zh-CN"/>
        </w:rPr>
        <w:t>。</w:t>
      </w:r>
    </w:p>
    <w:p w14:paraId="21448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章 附则</w:t>
      </w:r>
    </w:p>
    <w:p w14:paraId="538697C2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第十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九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条 本办法由资产管理处负责解释。</w:t>
      </w:r>
    </w:p>
    <w:p w14:paraId="26241F74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第二十条 本办法自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发布之日起施行，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val="en-US" w:eastAsia="zh-CN"/>
        </w:rPr>
        <w:t>原《上海电子信息职业技术学院招标代理机构管理办法（试行）》（沪电信职院〔2021〕43号）同时废止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  <w:t>。</w:t>
      </w:r>
    </w:p>
    <w:p w14:paraId="73EEDD99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</w:p>
    <w:p w14:paraId="353205C4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</w:p>
    <w:p w14:paraId="06018B54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</w:p>
    <w:p w14:paraId="6E7BD776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</w:p>
    <w:p w14:paraId="12E9B25D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</w:p>
    <w:p w14:paraId="37A2C4A5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</w:p>
    <w:p w14:paraId="014A8DD4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</w:p>
    <w:p w14:paraId="1B96E485">
      <w:pPr>
        <w:spacing w:line="560" w:lineRule="exact"/>
        <w:ind w:right="480"/>
        <w:rPr>
          <w:rFonts w:hint="eastAsia" w:ascii="仿宋_GB2312" w:hAnsi="宋体" w:eastAsia="仿宋_GB2312"/>
          <w:sz w:val="32"/>
          <w:szCs w:val="32"/>
        </w:rPr>
      </w:pPr>
    </w:p>
    <w:p w14:paraId="7B0F46B2">
      <w:pPr>
        <w:widowControl/>
        <w:adjustRightInd w:val="0"/>
        <w:snapToGrid w:val="0"/>
        <w:spacing w:line="360" w:lineRule="auto"/>
        <w:jc w:val="left"/>
        <w:rPr>
          <w:rFonts w:ascii="宋体"/>
        </w:rPr>
      </w:pPr>
    </w:p>
    <w:p w14:paraId="3850C21E">
      <w:pPr>
        <w:rPr>
          <w:rFonts w:ascii="华文仿宋" w:hAnsi="华文仿宋" w:eastAsia="华文仿宋"/>
          <w:sz w:val="30"/>
          <w:szCs w:val="30"/>
        </w:rPr>
      </w:pPr>
      <w:r>
        <w:rPr>
          <w:rFonts w:ascii="华文仿宋" w:hAnsi="华文仿宋" w:eastAsia="华文仿宋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-1270</wp:posOffset>
                </wp:positionV>
                <wp:extent cx="5397500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5pt;margin-top:-0.1pt;height:0pt;width:425pt;z-index:251660288;mso-width-relative:page;mso-height-relative:page;" filled="f" stroked="t" coordsize="21600,21600" o:gfxdata="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wFElHTAAAA&#10;BgEAAA8AAAAAAAAAAQAgAAAAIgAAAGRycy9kb3ducmV2LnhtbFBLAQIUABQAAAAIAIdO4kCaxOag&#10;6QEAALgDAAAOAAAAAAAAAAEAIAAAACI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仿宋" w:hAnsi="华文仿宋" w:eastAsia="华文仿宋"/>
          <w:sz w:val="30"/>
          <w:szCs w:val="30"/>
        </w:rPr>
        <w:t xml:space="preserve">上海电子信息职业技术学院办公室   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 xml:space="preserve">  </w:t>
      </w:r>
      <w:bookmarkStart w:id="1" w:name="印发日期"/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 xml:space="preserve"> </w:t>
      </w:r>
      <w:r>
        <w:rPr>
          <w:rFonts w:eastAsia="华文仿宋"/>
          <w:color w:val="000000"/>
          <w:kern w:val="0"/>
          <w:sz w:val="30"/>
          <w:szCs w:val="30"/>
        </w:rPr>
        <w:t>20</w:t>
      </w:r>
      <w:r>
        <w:rPr>
          <w:rFonts w:hint="eastAsia" w:eastAsia="华文仿宋"/>
          <w:color w:val="000000"/>
          <w:kern w:val="0"/>
          <w:sz w:val="30"/>
          <w:szCs w:val="30"/>
        </w:rPr>
        <w:t>2</w:t>
      </w:r>
      <w:r>
        <w:rPr>
          <w:rFonts w:hint="eastAsia" w:eastAsia="华文仿宋"/>
          <w:color w:val="000000"/>
          <w:kern w:val="0"/>
          <w:sz w:val="30"/>
          <w:szCs w:val="30"/>
          <w:lang w:val="en-US" w:eastAsia="zh-CN"/>
        </w:rPr>
        <w:t>6</w:t>
      </w:r>
      <w:r>
        <w:rPr>
          <w:rFonts w:hAnsi="华文仿宋" w:eastAsia="华文仿宋"/>
          <w:color w:val="000000"/>
          <w:kern w:val="0"/>
          <w:sz w:val="30"/>
          <w:szCs w:val="30"/>
        </w:rPr>
        <w:t>年</w:t>
      </w:r>
      <w:r>
        <w:rPr>
          <w:rFonts w:hint="eastAsia" w:hAnsi="华文仿宋" w:eastAsia="华文仿宋"/>
          <w:color w:val="000000"/>
          <w:kern w:val="0"/>
          <w:sz w:val="30"/>
          <w:szCs w:val="30"/>
          <w:lang w:val="en-US" w:eastAsia="zh-CN"/>
        </w:rPr>
        <w:t>4</w:t>
      </w:r>
      <w:r>
        <w:rPr>
          <w:rFonts w:hAnsi="华文仿宋" w:eastAsia="华文仿宋"/>
          <w:color w:val="000000"/>
          <w:kern w:val="0"/>
          <w:sz w:val="30"/>
          <w:szCs w:val="30"/>
        </w:rPr>
        <w:t>月</w:t>
      </w:r>
      <w:bookmarkEnd w:id="1"/>
      <w:r>
        <w:rPr>
          <w:rFonts w:hint="eastAsia" w:hAnsi="华文仿宋" w:eastAsia="华文仿宋"/>
          <w:color w:val="000000"/>
          <w:kern w:val="0"/>
          <w:sz w:val="30"/>
          <w:szCs w:val="30"/>
          <w:lang w:val="en-US" w:eastAsia="zh-CN"/>
        </w:rPr>
        <w:t>10</w:t>
      </w:r>
      <w:r>
        <w:rPr>
          <w:rFonts w:hint="eastAsia" w:eastAsia="华文仿宋"/>
          <w:color w:val="000000"/>
          <w:kern w:val="0"/>
          <w:sz w:val="30"/>
          <w:szCs w:val="30"/>
        </w:rPr>
        <w:t>日</w:t>
      </w:r>
      <w:r>
        <w:rPr>
          <w:rFonts w:hAnsi="华文仿宋" w:eastAsia="华文仿宋"/>
          <w:sz w:val="30"/>
          <w:szCs w:val="30"/>
        </w:rPr>
        <w:t>印</w:t>
      </w:r>
      <w:r>
        <w:rPr>
          <w:rFonts w:ascii="华文仿宋" w:hAnsi="华文仿宋" w:eastAsia="华文仿宋"/>
          <w:sz w:val="30"/>
          <w:szCs w:val="30"/>
        </w:rPr>
        <w:t xml:space="preserve">发 </w:t>
      </w:r>
    </w:p>
    <w:p w14:paraId="26657D51">
      <w:pPr>
        <w:spacing w:line="20" w:lineRule="exac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391150" cy="0"/>
                <wp:effectExtent l="0" t="9525" r="0" b="952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11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-0.1pt;height:0pt;width:424.5pt;z-index:251661312;mso-width-relative:page;mso-height-relative:page;" filled="f" stroked="t" coordsize="21600,21600" o:gfxdata="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dVk/Q0QAAAAQBAAAP&#10;AAAAAAAAAAEAIAAAACIAAABkcnMvZG93bnJldi54bWxQSwECFAAUAAAACACHTuJANil8SuYBAAC5&#10;AwAADgAAAAAAAAABACAAAAAgAQAAZHJzL2Uyb0RvYy54bWxQSwUGAAAAAAYABgBZAQAAeA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4"/>
        </w:rPr>
        <w:t xml:space="preserve">                 </w:t>
      </w:r>
    </w:p>
    <w:p w14:paraId="0441138D">
      <w:pPr>
        <w:spacing w:before="0" w:line="240" w:lineRule="auto"/>
        <w:ind w:firstLine="335"/>
        <w:rPr>
          <w:rFonts w:hint="default" w:cs="Arial"/>
          <w:snapToGrid w:val="0"/>
          <w:color w:val="000000"/>
          <w:sz w:val="21"/>
          <w:szCs w:val="21"/>
          <w:lang w:val="en-US" w:eastAsia="zh-CN" w:bidi="ar-SA"/>
        </w:rPr>
      </w:pPr>
    </w:p>
    <w:p w14:paraId="27DC0F94">
      <w:pPr>
        <w:ind w:firstLine="560" w:firstLineChars="200"/>
        <w:rPr>
          <w:rFonts w:hint="eastAsia" w:ascii="方正仿宋_GB2312" w:hAnsi="方正仿宋_GB2312" w:eastAsia="方正仿宋_GB2312" w:cs="方正仿宋_GB2312"/>
          <w:snapToGrid/>
          <w:kern w:val="2"/>
          <w:sz w:val="28"/>
          <w:szCs w:val="28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5B060D0-5885-4134-BA28-121B1B5E74B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6050DF4-7AD3-431C-80B1-8BE88F45DA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ADA61B44-8516-4EC2-B61A-93F7A05FED9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B809160C-12E9-42B6-BD0A-822A37D38F6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0F97EBF-4D63-4D92-8FBE-D948CA95B38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29208189-93C2-4A7C-A783-773E2E30AAF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632A0CAA-8141-47B7-91E6-1463B9C5E4C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64FE8142-8657-4387-AF77-20928F0FCF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807B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28238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28238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75887"/>
    <w:rsid w:val="0270296F"/>
    <w:rsid w:val="030C098F"/>
    <w:rsid w:val="03D93C7C"/>
    <w:rsid w:val="042816A1"/>
    <w:rsid w:val="0AD84C2E"/>
    <w:rsid w:val="0FE73EE9"/>
    <w:rsid w:val="11472A9A"/>
    <w:rsid w:val="190842C8"/>
    <w:rsid w:val="249C2345"/>
    <w:rsid w:val="29DD0280"/>
    <w:rsid w:val="2D602244"/>
    <w:rsid w:val="443A30D7"/>
    <w:rsid w:val="518B5201"/>
    <w:rsid w:val="5D551E6E"/>
    <w:rsid w:val="5DFE60D6"/>
    <w:rsid w:val="5EC358BA"/>
    <w:rsid w:val="5F0A1724"/>
    <w:rsid w:val="5FE42572"/>
    <w:rsid w:val="623443B7"/>
    <w:rsid w:val="62E75887"/>
    <w:rsid w:val="637C3583"/>
    <w:rsid w:val="6514477E"/>
    <w:rsid w:val="662256A5"/>
    <w:rsid w:val="69B61708"/>
    <w:rsid w:val="73F82FD0"/>
    <w:rsid w:val="74EA29B9"/>
    <w:rsid w:val="75A03B61"/>
    <w:rsid w:val="75EA6D90"/>
    <w:rsid w:val="76AC0555"/>
    <w:rsid w:val="780500D4"/>
    <w:rsid w:val="7FF6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2228</Words>
  <Characters>2242</Characters>
  <Lines>0</Lines>
  <Paragraphs>0</Paragraphs>
  <TotalTime>1</TotalTime>
  <ScaleCrop>false</ScaleCrop>
  <LinksUpToDate>false</LinksUpToDate>
  <CharactersWithSpaces>2376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2026-01-24T12:36:00Z</dcterms:created>
  <dc:creator>孙云波</dc:creator>
  <cp:lastModifiedBy>李夏</cp:lastModifiedBy>
  <dcterms:modified xsi:type="dcterms:W3CDTF">2026-04-10T01:59:10Z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C737A88C5DB64EE78A4C307185BD1521_13</vt:lpwstr>
  </property>
  <property fmtid="{D5CDD505-2E9C-101B-9397-08002B2CF9AE}" pid="4" name="KSOTemplateDocerSaveRecord">
    <vt:lpwstr>eyJoZGlkIjoiYWMzMmY1NDE3MzFlN2RhZWViZWJjM2Q1NjgxNjQ4ZWYiLCJ1c2VySWQiOiIxNjgyMjQ1MzU0In0=</vt:lpwstr>
  </property>
</Properties>
</file>