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14:paraId="69CB8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tcMar>
              <w:top w:w="100" w:type="dxa"/>
            </w:tcMar>
            <w:vAlign w:val="center"/>
          </w:tcPr>
          <w:p w14:paraId="71EB80EA">
            <w:pPr>
              <w:pStyle w:val="2"/>
              <w:keepNext w:val="0"/>
              <w:keepLines w:val="0"/>
              <w:widowControl/>
              <w:suppressLineNumbers w:val="0"/>
              <w:spacing w:line="220" w:lineRule="atLeast"/>
              <w:jc w:val="center"/>
            </w:pPr>
            <w:r>
              <w:rPr>
                <w:rStyle w:val="5"/>
                <w:rFonts w:ascii="黑体" w:hAnsi="宋体" w:eastAsia="黑体" w:cs="黑体"/>
                <w:i w:val="0"/>
                <w:iCs w:val="0"/>
                <w:caps w:val="0"/>
                <w:color w:val="FF0000"/>
                <w:spacing w:val="0"/>
                <w:sz w:val="36"/>
                <w:szCs w:val="36"/>
              </w:rPr>
              <w:t>2025年度全国教育科学规划高校毕业生就业研究专项申报公告</w:t>
            </w:r>
          </w:p>
          <w:p w14:paraId="64A092DB">
            <w:pPr>
              <w:pStyle w:val="2"/>
              <w:keepNext w:val="0"/>
              <w:keepLines w:val="0"/>
              <w:widowControl/>
              <w:suppressLineNumbers w:val="0"/>
              <w:spacing w:line="220" w:lineRule="atLeast"/>
              <w:jc w:val="center"/>
            </w:pPr>
            <w:r>
              <w:rPr>
                <w:rFonts w:ascii="仿宋" w:hAnsi="仿宋" w:eastAsia="仿宋" w:cs="仿宋"/>
                <w:i w:val="0"/>
                <w:iCs w:val="0"/>
                <w:caps w:val="0"/>
                <w:color w:val="666666"/>
                <w:spacing w:val="0"/>
                <w:sz w:val="12"/>
                <w:szCs w:val="12"/>
                <w:shd w:val="clear" w:fill="FFFFFF"/>
              </w:rPr>
              <w:t>　来源：全国教育科学规划领导小组办公室    发表时间：2025-04-25   阅读次数：3607   作者：全国教育科学规划领导小组办公室</w:t>
            </w:r>
          </w:p>
          <w:p w14:paraId="59C12E1E">
            <w:pPr>
              <w:pStyle w:val="2"/>
              <w:keepNext w:val="0"/>
              <w:keepLines w:val="0"/>
              <w:widowControl/>
              <w:suppressLineNumbers w:val="0"/>
              <w:spacing w:line="220" w:lineRule="atLeast"/>
              <w:jc w:val="left"/>
            </w:pPr>
            <w:r>
              <w:rPr>
                <w:rFonts w:ascii="仿宋_GB2312" w:hAnsi="仿宋_GB2312" w:eastAsia="仿宋_GB2312" w:cs="仿宋_GB2312"/>
                <w:i w:val="0"/>
                <w:iCs w:val="0"/>
                <w:caps w:val="0"/>
                <w:color w:val="5D6264"/>
                <w:spacing w:val="0"/>
                <w:sz w:val="18"/>
                <w:szCs w:val="18"/>
                <w:shd w:val="clear" w:fill="FFFFFF"/>
              </w:rPr>
              <w:t>    为做好2025年度全国教育科学规划高校毕业生就业研究专项（以下简称就业专项）申报工作，现就有关事项公告如下。</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一、专项目的</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就业专项立足高等教育人才培养与经济社会发展需求供需适配，重点资助高校毕业生就业领域的重要理论和现实问题研究，为加快构建高校毕业生高质量就业服务体系，完善高校学科设置调整机制和人才培养模式，促进高校毕业生高质量充分就业提供决策支撑。</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二、选题指南</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申报就业专项须从条目中选题，并按照指南要求开展研究，自拟选题不予受理。原则上每个选题只确立1个立项项目。</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三、资助额度</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就业专项的类别和资助额度分别为：重点项目，每项资助35万元；一般项目，每项资助20万元。</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四、申报条件</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（一）项目申请人须具备下列条件</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1.申请人须遵守中华人民共和国宪法和法律，坚持正确的政治方向、价值取向和研究导向，遵守全国教育科学规划有关管理规定。</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2.就业专项主要面向高等院校，部委直属单位，省级以上研究机构、党校（行政学院）等机构的研究人员申报。</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3.申请重点项目、一般项目，均须具有副高级以上（含）专业技术职称，或者具有博士学位。</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4.申请人或团队主要成员要具有就业指导与服务的工作背景或从事与就业有关的研究工作。</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5.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6.凡以博士学位论文或博士后出站报告为基础申报本次就业专项，须在《全国教育科学规划项目申请书》（以下简称《申请书》）中，注明所申请项目与学位论文（出站报告）的联系和区别。申请鉴定结项时须提交学位论文（出站报告）原件。不得以已出版的内容基本相同的研究成果申请就业专项。</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（二）项目申请人所在单位须具备下列条件</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1.在相关领域具有较强的师资队伍、科研力量和扎实的学术积累，或丰富的实践经验。</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2.设有专门负责科研管理工作的职能部门。</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3.能够为开展研究工作提供必要条件，并承诺信誉保证。</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五、申报要求</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1.就业专项申报</w:t>
            </w:r>
            <w:r>
              <w:rPr>
                <w:rStyle w:val="5"/>
                <w:rFonts w:hint="eastAsia" w:ascii="仿宋_GB2312" w:hAnsi="仿宋_GB2312" w:eastAsia="仿宋_GB2312" w:cs="仿宋_GB2312"/>
                <w:i w:val="0"/>
                <w:iCs w:val="0"/>
                <w:caps w:val="0"/>
                <w:color w:val="5D6264"/>
                <w:spacing w:val="0"/>
                <w:sz w:val="18"/>
                <w:szCs w:val="18"/>
                <w:shd w:val="clear" w:fill="FFFFFF"/>
              </w:rPr>
              <w:t>不限额</w:t>
            </w:r>
            <w:r>
              <w:rPr>
                <w:rFonts w:hint="eastAsia" w:ascii="仿宋_GB2312" w:hAnsi="仿宋_GB2312" w:eastAsia="仿宋_GB2312" w:cs="仿宋_GB2312"/>
                <w:i w:val="0"/>
                <w:iCs w:val="0"/>
                <w:caps w:val="0"/>
                <w:color w:val="5D6264"/>
                <w:spacing w:val="0"/>
                <w:sz w:val="18"/>
                <w:szCs w:val="18"/>
                <w:shd w:val="clear" w:fill="FFFFFF"/>
              </w:rPr>
              <w:t>。各二级管理机构和申请单位要着力提高申报质量，宁缺毋滥。</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2.专项研究年限为1-2年，不得延期。一般项目研究期限为1年，要求至少1篇决策咨询报告被《全国教育科学规划课题成果要报》刊发、或被专项合作单位及以上领导肯定性批示、或被专项合作单位及以上党政机关的内刊刊发。重点项目研究期限为2年，除上述要求外，同时至少发表1篇核心期刊（或SCI、SSCI、CSSCI、A&amp;HCI）论文。重点项目的成果要求须高于一般项目，成果形式、数量和级别与资助金额和研究年限相匹配。</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3.申请人应按照《全国教育科学规划管理办法》和《全国教育科学规划课题资金管理办法》（详见我办网站）的要求，根据实际需要编制科学合理的经费预算。</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4.申请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5.项目负责人在项目执行期间要遵守相关承诺，履行约定义务，按期完成研究任务，申报时承诺的预期研究成果为项目结项时必须达到的要件，不得擅自变更。获准立项的《申请书》视为具有约束力的资助合同文本。最终成果实行通讯鉴定，鉴定等级予以公布。</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六、工作安排</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本次就业专项实行网络申报。“全国教育科学规划管理平台”（</w:t>
            </w:r>
            <w:r>
              <w:rPr>
                <w:rFonts w:hint="eastAsia" w:ascii="仿宋_GB2312" w:hAnsi="仿宋_GB2312" w:eastAsia="仿宋_GB2312" w:cs="仿宋_GB2312"/>
                <w:i w:val="0"/>
                <w:iCs w:val="0"/>
                <w:caps w:val="0"/>
                <w:color w:val="3A3A3A"/>
                <w:spacing w:val="0"/>
                <w:sz w:val="18"/>
                <w:szCs w:val="18"/>
                <w:u w:val="none"/>
                <w:shd w:val="clear" w:fill="FFFFFF"/>
              </w:rPr>
              <w:fldChar w:fldCharType="begin"/>
            </w:r>
            <w:r>
              <w:rPr>
                <w:rFonts w:hint="eastAsia" w:ascii="仿宋_GB2312" w:hAnsi="仿宋_GB2312" w:eastAsia="仿宋_GB2312" w:cs="仿宋_GB2312"/>
                <w:i w:val="0"/>
                <w:iCs w:val="0"/>
                <w:caps w:val="0"/>
                <w:color w:val="3A3A3A"/>
                <w:spacing w:val="0"/>
                <w:sz w:val="18"/>
                <w:szCs w:val="18"/>
                <w:u w:val="none"/>
                <w:shd w:val="clear" w:fill="FFFFFF"/>
              </w:rPr>
              <w:instrText xml:space="preserve"> HYPERLINK "https://202.205.185.227/" </w:instrText>
            </w:r>
            <w:r>
              <w:rPr>
                <w:rFonts w:hint="eastAsia" w:ascii="仿宋_GB2312" w:hAnsi="仿宋_GB2312" w:eastAsia="仿宋_GB2312" w:cs="仿宋_GB2312"/>
                <w:i w:val="0"/>
                <w:iCs w:val="0"/>
                <w:caps w:val="0"/>
                <w:color w:val="3A3A3A"/>
                <w:spacing w:val="0"/>
                <w:sz w:val="18"/>
                <w:szCs w:val="18"/>
                <w:u w:val="none"/>
                <w:shd w:val="clear" w:fill="FFFFFF"/>
              </w:rPr>
              <w:fldChar w:fldCharType="separate"/>
            </w:r>
            <w:r>
              <w:rPr>
                <w:rStyle w:val="6"/>
                <w:rFonts w:hint="eastAsia" w:ascii="仿宋_GB2312" w:hAnsi="仿宋_GB2312" w:eastAsia="仿宋_GB2312" w:cs="仿宋_GB2312"/>
                <w:i w:val="0"/>
                <w:iCs w:val="0"/>
                <w:caps w:val="0"/>
                <w:color w:val="3A3A3A"/>
                <w:spacing w:val="0"/>
                <w:sz w:val="18"/>
                <w:szCs w:val="18"/>
                <w:u w:val="none"/>
                <w:shd w:val="clear" w:fill="FFFFFF"/>
              </w:rPr>
              <w:t>https://202.205.185.227/</w:t>
            </w:r>
            <w:r>
              <w:rPr>
                <w:rFonts w:hint="eastAsia" w:ascii="仿宋_GB2312" w:hAnsi="仿宋_GB2312" w:eastAsia="仿宋_GB2312" w:cs="仿宋_GB2312"/>
                <w:i w:val="0"/>
                <w:iCs w:val="0"/>
                <w:caps w:val="0"/>
                <w:color w:val="3A3A3A"/>
                <w:spacing w:val="0"/>
                <w:sz w:val="18"/>
                <w:szCs w:val="18"/>
                <w:u w:val="none"/>
                <w:shd w:val="clear" w:fill="FFFFFF"/>
              </w:rPr>
              <w:fldChar w:fldCharType="end"/>
            </w:r>
            <w:r>
              <w:rPr>
                <w:rFonts w:hint="eastAsia" w:ascii="仿宋_GB2312" w:hAnsi="仿宋_GB2312" w:eastAsia="仿宋_GB2312" w:cs="仿宋_GB2312"/>
                <w:i w:val="0"/>
                <w:iCs w:val="0"/>
                <w:caps w:val="0"/>
                <w:color w:val="5D6264"/>
                <w:spacing w:val="0"/>
                <w:sz w:val="18"/>
                <w:szCs w:val="18"/>
                <w:shd w:val="clear" w:fill="FFFFFF"/>
              </w:rPr>
              <w:t>，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1. 申报时间安排</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2. 审核时间安排</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二级管理单位网上审核提交截止时间为2025年6月9日17时。须把加盖公章的《申报数据汇总表》扫描件及审查合格的《申请书》《活页》在平台上提交至全规办。省级教育规划办无需在《申请书》上加盖公章。审核期间可以退回修改提交但不能新增申报。请严格按照以上时间要求审核、报送材料，逾期不予受理。</w:t>
            </w:r>
            <w:r>
              <w:rPr>
                <w:rFonts w:hint="eastAsia" w:ascii="仿宋_GB2312" w:hAnsi="仿宋_GB2312" w:eastAsia="仿宋_GB2312" w:cs="仿宋_GB2312"/>
                <w:i w:val="0"/>
                <w:iCs w:val="0"/>
                <w:caps w:val="0"/>
                <w:color w:val="5D6264"/>
                <w:spacing w:val="0"/>
                <w:sz w:val="18"/>
                <w:szCs w:val="18"/>
                <w:shd w:val="clear" w:fill="FFFFFF"/>
              </w:rPr>
              <w:br w:type="textWrapping"/>
            </w:r>
            <w:r>
              <w:rPr>
                <w:rStyle w:val="5"/>
                <w:rFonts w:hint="eastAsia" w:ascii="仿宋_GB2312" w:hAnsi="仿宋_GB2312" w:eastAsia="仿宋_GB2312" w:cs="仿宋_GB2312"/>
                <w:i w:val="0"/>
                <w:iCs w:val="0"/>
                <w:caps w:val="0"/>
                <w:color w:val="5D6264"/>
                <w:spacing w:val="0"/>
                <w:sz w:val="18"/>
                <w:szCs w:val="18"/>
                <w:shd w:val="clear" w:fill="FFFFFF"/>
              </w:rPr>
              <w:t>    3. 报送纸质材料时间安排</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《申请书》《活页》和《申报数据汇总表》均</w:t>
            </w:r>
            <w:r>
              <w:rPr>
                <w:rStyle w:val="5"/>
                <w:rFonts w:hint="eastAsia" w:ascii="仿宋_GB2312" w:hAnsi="仿宋_GB2312" w:eastAsia="仿宋_GB2312" w:cs="仿宋_GB2312"/>
                <w:i w:val="0"/>
                <w:iCs w:val="0"/>
                <w:caps w:val="0"/>
                <w:color w:val="5D6264"/>
                <w:spacing w:val="0"/>
                <w:sz w:val="18"/>
                <w:szCs w:val="18"/>
                <w:shd w:val="clear" w:fill="FFFFFF"/>
              </w:rPr>
              <w:t>无需寄送纸质版</w:t>
            </w:r>
            <w:r>
              <w:rPr>
                <w:rFonts w:hint="eastAsia" w:ascii="仿宋_GB2312" w:hAnsi="仿宋_GB2312" w:eastAsia="仿宋_GB2312" w:cs="仿宋_GB2312"/>
                <w:i w:val="0"/>
                <w:iCs w:val="0"/>
                <w:caps w:val="0"/>
                <w:color w:val="5D6264"/>
                <w:spacing w:val="0"/>
                <w:sz w:val="18"/>
                <w:szCs w:val="18"/>
                <w:shd w:val="clear" w:fill="FFFFFF"/>
              </w:rPr>
              <w:t>。在平台上提交给全规办的所有材料均视为经过各级单位审核同意的文本。待立项公布后，二级管理单位在平台上下载所属立项项目的《申请书》（不需要《活页》），每个项目打印1份，加盖公章后统一寄送至全规办。</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若有问题需咨询，请先查看《2025年度全国教育科学规划各类项目申报常见问题答疑》和《</w:t>
            </w:r>
            <w:r>
              <w:rPr>
                <w:rFonts w:hint="eastAsia" w:ascii="仿宋_GB2312" w:hAnsi="仿宋_GB2312" w:eastAsia="仿宋_GB2312" w:cs="仿宋_GB2312"/>
                <w:i w:val="0"/>
                <w:iCs w:val="0"/>
                <w:caps w:val="0"/>
                <w:color w:val="3A3A3A"/>
                <w:spacing w:val="0"/>
                <w:sz w:val="18"/>
                <w:szCs w:val="18"/>
                <w:u w:val="none"/>
                <w:shd w:val="clear" w:fill="FFFFFF"/>
              </w:rPr>
              <w:fldChar w:fldCharType="begin"/>
            </w:r>
            <w:r>
              <w:rPr>
                <w:rFonts w:hint="eastAsia" w:ascii="仿宋_GB2312" w:hAnsi="仿宋_GB2312" w:eastAsia="仿宋_GB2312" w:cs="仿宋_GB2312"/>
                <w:i w:val="0"/>
                <w:iCs w:val="0"/>
                <w:caps w:val="0"/>
                <w:color w:val="3A3A3A"/>
                <w:spacing w:val="0"/>
                <w:sz w:val="18"/>
                <w:szCs w:val="18"/>
                <w:u w:val="none"/>
                <w:shd w:val="clear" w:fill="FFFFFF"/>
              </w:rPr>
              <w:instrText xml:space="preserve"> HYPERLINK "https://202.205.185.227/indexAction!do_downLoad.action?fId=ff8080818f527e3a018f5b2a02b21127" </w:instrText>
            </w:r>
            <w:r>
              <w:rPr>
                <w:rFonts w:hint="eastAsia" w:ascii="仿宋_GB2312" w:hAnsi="仿宋_GB2312" w:eastAsia="仿宋_GB2312" w:cs="仿宋_GB2312"/>
                <w:i w:val="0"/>
                <w:iCs w:val="0"/>
                <w:caps w:val="0"/>
                <w:color w:val="3A3A3A"/>
                <w:spacing w:val="0"/>
                <w:sz w:val="18"/>
                <w:szCs w:val="18"/>
                <w:u w:val="none"/>
                <w:shd w:val="clear" w:fill="FFFFFF"/>
              </w:rPr>
              <w:fldChar w:fldCharType="separate"/>
            </w:r>
            <w:r>
              <w:rPr>
                <w:rStyle w:val="6"/>
                <w:rFonts w:hint="eastAsia" w:ascii="仿宋_GB2312" w:hAnsi="仿宋_GB2312" w:eastAsia="仿宋_GB2312" w:cs="仿宋_GB2312"/>
                <w:i w:val="0"/>
                <w:iCs w:val="0"/>
                <w:caps w:val="0"/>
                <w:color w:val="3A3A3A"/>
                <w:spacing w:val="0"/>
                <w:sz w:val="18"/>
                <w:szCs w:val="18"/>
                <w:u w:val="none"/>
                <w:shd w:val="clear" w:fill="FFFFFF"/>
              </w:rPr>
              <w:t>全国教育科学规划管理平台操作手册-其他类别项目申报</w:t>
            </w:r>
            <w:r>
              <w:rPr>
                <w:rFonts w:hint="eastAsia" w:ascii="仿宋_GB2312" w:hAnsi="仿宋_GB2312" w:eastAsia="仿宋_GB2312" w:cs="仿宋_GB2312"/>
                <w:i w:val="0"/>
                <w:iCs w:val="0"/>
                <w:caps w:val="0"/>
                <w:color w:val="3A3A3A"/>
                <w:spacing w:val="0"/>
                <w:sz w:val="18"/>
                <w:szCs w:val="18"/>
                <w:u w:val="none"/>
                <w:shd w:val="clear" w:fill="FFFFFF"/>
              </w:rPr>
              <w:fldChar w:fldCharType="end"/>
            </w:r>
            <w:r>
              <w:rPr>
                <w:rFonts w:hint="eastAsia" w:ascii="仿宋_GB2312" w:hAnsi="仿宋_GB2312" w:eastAsia="仿宋_GB2312" w:cs="仿宋_GB2312"/>
                <w:i w:val="0"/>
                <w:iCs w:val="0"/>
                <w:caps w:val="0"/>
                <w:color w:val="5D6264"/>
                <w:spacing w:val="0"/>
                <w:sz w:val="18"/>
                <w:szCs w:val="18"/>
                <w:shd w:val="clear" w:fill="FFFFFF"/>
              </w:rPr>
              <w:t>》。再有疑问，二级管理单位咨询全规办，地方高校请先咨询省级教育规划办（省级教育规划办电话请上管理平台的“通知公告”栏目查询）。</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全规办咨询电话：010—62003471、62003308；</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平台系统及技术问题请咨询400-800-1636，电子信箱：</w:t>
            </w:r>
            <w:r>
              <w:rPr>
                <w:rFonts w:hint="eastAsia" w:ascii="仿宋_GB2312" w:hAnsi="仿宋_GB2312" w:eastAsia="仿宋_GB2312" w:cs="仿宋_GB2312"/>
                <w:i w:val="0"/>
                <w:iCs w:val="0"/>
                <w:caps w:val="0"/>
                <w:color w:val="3A3A3A"/>
                <w:spacing w:val="0"/>
                <w:sz w:val="18"/>
                <w:szCs w:val="18"/>
                <w:u w:val="none"/>
                <w:shd w:val="clear" w:fill="FFFFFF"/>
              </w:rPr>
              <w:fldChar w:fldCharType="begin"/>
            </w:r>
            <w:r>
              <w:rPr>
                <w:rFonts w:hint="eastAsia" w:ascii="仿宋_GB2312" w:hAnsi="仿宋_GB2312" w:eastAsia="仿宋_GB2312" w:cs="仿宋_GB2312"/>
                <w:i w:val="0"/>
                <w:iCs w:val="0"/>
                <w:caps w:val="0"/>
                <w:color w:val="3A3A3A"/>
                <w:spacing w:val="0"/>
                <w:sz w:val="18"/>
                <w:szCs w:val="18"/>
                <w:u w:val="none"/>
                <w:shd w:val="clear" w:fill="FFFFFF"/>
              </w:rPr>
              <w:instrText xml:space="preserve"> HYPERLINK "mailto:support@e-plugger.com%E3%80%82" </w:instrText>
            </w:r>
            <w:r>
              <w:rPr>
                <w:rFonts w:hint="eastAsia" w:ascii="仿宋_GB2312" w:hAnsi="仿宋_GB2312" w:eastAsia="仿宋_GB2312" w:cs="仿宋_GB2312"/>
                <w:i w:val="0"/>
                <w:iCs w:val="0"/>
                <w:caps w:val="0"/>
                <w:color w:val="3A3A3A"/>
                <w:spacing w:val="0"/>
                <w:sz w:val="18"/>
                <w:szCs w:val="18"/>
                <w:u w:val="none"/>
                <w:shd w:val="clear" w:fill="FFFFFF"/>
              </w:rPr>
              <w:fldChar w:fldCharType="separate"/>
            </w:r>
            <w:r>
              <w:rPr>
                <w:rStyle w:val="6"/>
                <w:rFonts w:hint="eastAsia" w:ascii="仿宋_GB2312" w:hAnsi="仿宋_GB2312" w:eastAsia="仿宋_GB2312" w:cs="仿宋_GB2312"/>
                <w:i w:val="0"/>
                <w:iCs w:val="0"/>
                <w:caps w:val="0"/>
                <w:color w:val="3A3A3A"/>
                <w:spacing w:val="0"/>
                <w:sz w:val="18"/>
                <w:szCs w:val="18"/>
                <w:u w:val="single"/>
                <w:shd w:val="clear" w:fill="FFFFFF"/>
              </w:rPr>
              <w:t>support@e-plugger.com。</w:t>
            </w:r>
            <w:r>
              <w:rPr>
                <w:rFonts w:hint="eastAsia" w:ascii="仿宋_GB2312" w:hAnsi="仿宋_GB2312" w:eastAsia="仿宋_GB2312" w:cs="仿宋_GB2312"/>
                <w:i w:val="0"/>
                <w:iCs w:val="0"/>
                <w:caps w:val="0"/>
                <w:color w:val="3A3A3A"/>
                <w:spacing w:val="0"/>
                <w:sz w:val="18"/>
                <w:szCs w:val="18"/>
                <w:u w:val="none"/>
                <w:shd w:val="clear" w:fill="FFFFFF"/>
              </w:rPr>
              <w:fldChar w:fldCharType="end"/>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邮寄地址：北京市海淀区北三环中路46号全国教育科学规划领导小组办公室。邮政编码：100088。</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p>
          <w:p w14:paraId="781E696F">
            <w:pPr>
              <w:keepNext w:val="0"/>
              <w:keepLines w:val="0"/>
              <w:widowControl/>
              <w:suppressLineNumbers w:val="0"/>
              <w:pBdr>
                <w:top w:val="none" w:color="auto" w:sz="0" w:space="0"/>
              </w:pBdr>
              <w:spacing w:line="220" w:lineRule="atLeast"/>
              <w:jc w:val="right"/>
              <w:rPr>
                <w:rFonts w:hint="eastAsia" w:ascii="仿宋" w:hAnsi="仿宋" w:eastAsia="仿宋" w:cs="仿宋"/>
                <w:i w:val="0"/>
                <w:iCs w:val="0"/>
                <w:caps w:val="0"/>
                <w:color w:val="3A3A3A"/>
                <w:spacing w:val="0"/>
                <w:sz w:val="12"/>
                <w:szCs w:val="12"/>
              </w:rPr>
            </w:pPr>
            <w:r>
              <w:rPr>
                <w:rFonts w:hint="eastAsia" w:ascii="仿宋_GB2312" w:hAnsi="仿宋_GB2312" w:eastAsia="仿宋_GB2312" w:cs="仿宋_GB2312"/>
                <w:i w:val="0"/>
                <w:iCs w:val="0"/>
                <w:caps w:val="0"/>
                <w:color w:val="5D6264"/>
                <w:spacing w:val="0"/>
                <w:kern w:val="0"/>
                <w:sz w:val="18"/>
                <w:szCs w:val="18"/>
                <w:shd w:val="clear" w:fill="FFFFFF"/>
                <w:lang w:val="en-US" w:eastAsia="zh-CN" w:bidi="ar"/>
              </w:rPr>
              <w:t> 全国教育科学规划领导小组办公室</w:t>
            </w:r>
            <w:r>
              <w:rPr>
                <w:rFonts w:hint="eastAsia" w:ascii="仿宋_GB2312" w:hAnsi="仿宋_GB2312" w:eastAsia="仿宋_GB2312" w:cs="仿宋_GB2312"/>
                <w:i w:val="0"/>
                <w:iCs w:val="0"/>
                <w:caps w:val="0"/>
                <w:color w:val="5D6264"/>
                <w:spacing w:val="0"/>
                <w:kern w:val="0"/>
                <w:sz w:val="18"/>
                <w:szCs w:val="18"/>
                <w:shd w:val="clear" w:fill="FFFFFF"/>
                <w:lang w:val="en-US" w:eastAsia="zh-CN" w:bidi="ar"/>
              </w:rPr>
              <w:br w:type="textWrapping"/>
            </w:r>
            <w:r>
              <w:rPr>
                <w:rFonts w:hint="eastAsia" w:ascii="仿宋_GB2312" w:hAnsi="仿宋_GB2312" w:eastAsia="仿宋_GB2312" w:cs="仿宋_GB2312"/>
                <w:i w:val="0"/>
                <w:iCs w:val="0"/>
                <w:caps w:val="0"/>
                <w:color w:val="5D6264"/>
                <w:spacing w:val="0"/>
                <w:kern w:val="0"/>
                <w:sz w:val="18"/>
                <w:szCs w:val="18"/>
                <w:shd w:val="clear" w:fill="FFFFFF"/>
                <w:lang w:val="en-US" w:eastAsia="zh-CN" w:bidi="ar"/>
              </w:rPr>
              <w:t>                        2025年4月25日</w:t>
            </w:r>
            <w:r>
              <w:rPr>
                <w:rFonts w:hint="eastAsia" w:ascii="仿宋" w:hAnsi="仿宋" w:eastAsia="仿宋" w:cs="仿宋"/>
                <w:i w:val="0"/>
                <w:iCs w:val="0"/>
                <w:caps w:val="0"/>
                <w:color w:val="5D6264"/>
                <w:spacing w:val="0"/>
                <w:kern w:val="0"/>
                <w:sz w:val="14"/>
                <w:szCs w:val="14"/>
                <w:shd w:val="clear" w:fill="FFFFFF"/>
                <w:lang w:val="en-US" w:eastAsia="zh-CN" w:bidi="ar"/>
              </w:rPr>
              <w:br w:type="textWrapping"/>
            </w:r>
            <w:r>
              <w:rPr>
                <w:rFonts w:hint="eastAsia" w:ascii="仿宋" w:hAnsi="仿宋" w:eastAsia="仿宋" w:cs="仿宋"/>
                <w:i w:val="0"/>
                <w:iCs w:val="0"/>
                <w:caps w:val="0"/>
                <w:color w:val="5D6264"/>
                <w:spacing w:val="0"/>
                <w:kern w:val="0"/>
                <w:sz w:val="14"/>
                <w:szCs w:val="14"/>
                <w:shd w:val="clear" w:fill="FFFFFF"/>
                <w:lang w:val="en-US" w:eastAsia="zh-CN" w:bidi="ar"/>
              </w:rPr>
              <w:t> </w:t>
            </w:r>
          </w:p>
        </w:tc>
      </w:tr>
      <w:tr w14:paraId="55159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14:paraId="0A71E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top"/>
                </w:tcPr>
                <w:p w14:paraId="05965CF2">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附件</w:t>
                  </w:r>
                </w:p>
              </w:tc>
            </w:tr>
            <w:tr w14:paraId="766E8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top"/>
                </w:tcPr>
                <w:tbl>
                  <w:tblPr>
                    <w:tblW w:w="66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600"/>
                  </w:tblGrid>
                  <w:tr w14:paraId="3B8F9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17CE7A5A">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1：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"https://onsgep.moe.edu.cn/edoas2/common/showAttachment?eid=HXAFzpkataYDlL0pzaMa8DDLGpzakaMDKLzpJHXAFzUa4wiUi&amp;vcode=027563cca7cc"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2025年度全国教育科学规划专项指南——就业.docx  </w:t>
                        </w:r>
                        <w:r>
                          <w:rPr>
                            <w:rFonts w:hint="eastAsia" w:ascii="宋体" w:hAnsi="宋体" w:eastAsia="宋体" w:cs="宋体"/>
                            <w:color w:val="3A3A3A"/>
                            <w:kern w:val="0"/>
                            <w:sz w:val="12"/>
                            <w:szCs w:val="12"/>
                            <w:u w:val="none"/>
                            <w:lang w:val="en-US" w:eastAsia="zh-CN" w:bidi="ar"/>
                          </w:rPr>
                          <w:fldChar w:fldCharType="end"/>
                        </w:r>
                      </w:p>
                    </w:tc>
                  </w:tr>
                  <w:tr w14:paraId="162F3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07D5E26A">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2：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"https://onsgep.moe.edu.cn/edoas2/common/showAttachment?eid=HXAFzUayykWepfgL3yxkIe9feLOynkWeNfYLzyiHXAFzUa4wiU&amp;vcode=2387a8abf36c"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2025年全国教育科学规划项目（国家重点、国家一般、国家青年、教育部重点、教育部青年、博士生项目、专项）-申请书.doc  </w:t>
                        </w:r>
                        <w:r>
                          <w:rPr>
                            <w:rFonts w:hint="eastAsia" w:ascii="宋体" w:hAnsi="宋体" w:eastAsia="宋体" w:cs="宋体"/>
                            <w:color w:val="3A3A3A"/>
                            <w:kern w:val="0"/>
                            <w:sz w:val="12"/>
                            <w:szCs w:val="12"/>
                            <w:u w:val="none"/>
                            <w:lang w:val="en-US" w:eastAsia="zh-CN" w:bidi="ar"/>
                          </w:rPr>
                          <w:fldChar w:fldCharType="end"/>
                        </w:r>
                      </w:p>
                    </w:tc>
                  </w:tr>
                  <w:tr w14:paraId="021B1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422FE89C">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3：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"https://onsgep.moe.edu.cn/edoas2/common/showAttachment?eid=HXAFzUayykWepfgL3yxkIe9fNL3ynkFeqfYLzyZHXAFzUa4wiU&amp;vcode=2387a8abf36c"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2025年全国教育科学规划项目（国家重点、国家一般、国家青年、教育部重点、教育部青年、博士生项目、专项）-活页.doc  </w:t>
                        </w:r>
                        <w:r>
                          <w:rPr>
                            <w:rFonts w:hint="eastAsia" w:ascii="宋体" w:hAnsi="宋体" w:eastAsia="宋体" w:cs="宋体"/>
                            <w:color w:val="3A3A3A"/>
                            <w:kern w:val="0"/>
                            <w:sz w:val="12"/>
                            <w:szCs w:val="12"/>
                            <w:u w:val="none"/>
                            <w:lang w:val="en-US" w:eastAsia="zh-CN" w:bidi="ar"/>
                          </w:rPr>
                          <w:fldChar w:fldCharType="end"/>
                        </w:r>
                      </w:p>
                    </w:tc>
                  </w:tr>
                  <w:tr w14:paraId="4706C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3BE2483F">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4：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"https://onsgep.moe.edu.cn/edoas2/common/showAttachment?eid=HXAFzUayykWepfgL3yxkIe9fYLRynkFeNfYLzyQHXAFzUa4wiU&amp;vcode=2387a8abf36c"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2025年度全国教育科学规划各类项目申报常见问题答疑.doc  </w:t>
                        </w:r>
                        <w:r>
                          <w:rPr>
                            <w:rFonts w:hint="eastAsia" w:ascii="宋体" w:hAnsi="宋体" w:eastAsia="宋体" w:cs="宋体"/>
                            <w:color w:val="3A3A3A"/>
                            <w:kern w:val="0"/>
                            <w:sz w:val="12"/>
                            <w:szCs w:val="12"/>
                            <w:u w:val="none"/>
                            <w:lang w:val="en-US" w:eastAsia="zh-CN" w:bidi="ar"/>
                          </w:rPr>
                          <w:fldChar w:fldCharType="end"/>
                        </w:r>
                      </w:p>
                    </w:tc>
                  </w:tr>
                </w:tbl>
                <w:p w14:paraId="35551408">
                  <w:pPr>
                    <w:jc w:val="left"/>
                    <w:rPr>
                      <w:rFonts w:hint="eastAsia" w:ascii="宋体" w:hAnsi="宋体" w:eastAsia="宋体" w:cs="宋体"/>
                      <w:color w:val="3A3A3A"/>
                      <w:sz w:val="12"/>
                      <w:szCs w:val="12"/>
                    </w:rPr>
                  </w:pPr>
                </w:p>
              </w:tc>
            </w:tr>
          </w:tbl>
          <w:p w14:paraId="234027DF">
            <w:pPr>
              <w:jc w:val="center"/>
              <w:rPr>
                <w:rFonts w:hint="eastAsia" w:ascii="宋体" w:hAnsi="宋体" w:eastAsia="宋体" w:cs="宋体"/>
                <w:i w:val="0"/>
                <w:iCs w:val="0"/>
                <w:caps w:val="0"/>
                <w:color w:val="3A3A3A"/>
                <w:spacing w:val="0"/>
                <w:sz w:val="12"/>
                <w:szCs w:val="12"/>
              </w:rPr>
            </w:pPr>
          </w:p>
        </w:tc>
      </w:tr>
    </w:tbl>
    <w:p w14:paraId="593CAB5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147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2025-04-25T14:41:58Z</dcterms:created>
  <dc:creator>diaoy</dc:creator>
  <cp:lastModifiedBy>结结</cp:lastModifiedBy>
  <dcterms:modified xsi:type="dcterms:W3CDTF">2025-04-25T14:42:17Z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eyJoZGlkIjoiNDc2NjY0ZDIzMjY0M2NkYjM4ODYyYzFhMjI2OGExMDkiLCJ1c2VySWQiOiI1NzgwNTU2NzkifQ==</vt:lpwstr>
  </property>
  <property fmtid="{D5CDD505-2E9C-101B-9397-08002B2CF9AE}" pid="4" name="ICV">
    <vt:lpwstr>9DBF19AE0BE243DC99822E0C7BCC1277_12</vt:lpwstr>
  </property>
</Properties>
</file>