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A1A06D">
      <w:pPr>
        <w:ind w:firstLine="2249" w:firstLineChars="700"/>
        <w:jc w:val="both"/>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2025年淮安市企业技术需求汇总表</w:t>
      </w:r>
    </w:p>
    <w:tbl>
      <w:tblPr>
        <w:tblStyle w:val="8"/>
        <w:tblW w:w="8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620"/>
        <w:gridCol w:w="5040"/>
        <w:gridCol w:w="1480"/>
      </w:tblGrid>
      <w:tr w14:paraId="44409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76" w:type="dxa"/>
            <w:noWrap w:val="0"/>
            <w:vAlign w:val="center"/>
          </w:tcPr>
          <w:p w14:paraId="5C7CB11A">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序号</w:t>
            </w:r>
          </w:p>
        </w:tc>
        <w:tc>
          <w:tcPr>
            <w:tcW w:w="1620" w:type="dxa"/>
            <w:noWrap w:val="0"/>
            <w:vAlign w:val="center"/>
          </w:tcPr>
          <w:p w14:paraId="1D63C6C2">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项目名称</w:t>
            </w:r>
          </w:p>
        </w:tc>
        <w:tc>
          <w:tcPr>
            <w:tcW w:w="5040" w:type="dxa"/>
            <w:noWrap w:val="0"/>
            <w:vAlign w:val="center"/>
          </w:tcPr>
          <w:p w14:paraId="58FF5919">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主要技术要求</w:t>
            </w:r>
          </w:p>
        </w:tc>
        <w:tc>
          <w:tcPr>
            <w:tcW w:w="1480" w:type="dxa"/>
            <w:noWrap w:val="0"/>
            <w:vAlign w:val="center"/>
          </w:tcPr>
          <w:p w14:paraId="6DD777DC">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需求单位</w:t>
            </w:r>
          </w:p>
        </w:tc>
      </w:tr>
      <w:tr w14:paraId="34DED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776" w:type="dxa"/>
            <w:noWrap w:val="0"/>
            <w:vAlign w:val="center"/>
          </w:tcPr>
          <w:p w14:paraId="5FC3C122">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w:t>
            </w:r>
          </w:p>
        </w:tc>
        <w:tc>
          <w:tcPr>
            <w:tcW w:w="1620" w:type="dxa"/>
            <w:noWrap w:val="0"/>
            <w:vAlign w:val="center"/>
          </w:tcPr>
          <w:p w14:paraId="5DE1E790">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napToGrid w:val="0"/>
                <w:color w:val="000000"/>
                <w:kern w:val="0"/>
                <w:sz w:val="24"/>
                <w:szCs w:val="24"/>
                <w:lang w:val="en-US" w:eastAsia="zh-CN" w:bidi="ar-SA"/>
              </w:rPr>
              <w:t>非接触式铁矿浆流量计</w:t>
            </w:r>
          </w:p>
        </w:tc>
        <w:tc>
          <w:tcPr>
            <w:tcW w:w="5040" w:type="dxa"/>
            <w:noWrap w:val="0"/>
            <w:vAlign w:val="top"/>
          </w:tcPr>
          <w:p w14:paraId="1DD1AE50">
            <w:pPr>
              <w:pStyle w:val="2"/>
              <w:widowControl w:val="0"/>
              <w:numPr>
                <w:ilvl w:val="0"/>
                <w:numId w:val="0"/>
              </w:numPr>
              <w:rPr>
                <w:rFonts w:hint="eastAsia" w:ascii="仿宋" w:hAnsi="仿宋" w:eastAsia="仿宋" w:cs="仿宋"/>
                <w:b/>
                <w:bCs/>
                <w:sz w:val="24"/>
                <w:szCs w:val="24"/>
                <w:vertAlign w:val="baseline"/>
                <w:lang w:val="en-US" w:eastAsia="zh-CN"/>
              </w:rPr>
            </w:pPr>
            <w:r>
              <w:rPr>
                <w:rFonts w:hint="eastAsia" w:ascii="仿宋" w:hAnsi="仿宋" w:eastAsia="仿宋" w:cs="Times New Roman"/>
                <w:b/>
                <w:bCs/>
                <w:snapToGrid w:val="0"/>
                <w:color w:val="000000"/>
                <w:kern w:val="0"/>
                <w:sz w:val="24"/>
                <w:szCs w:val="24"/>
                <w:lang w:val="en-US" w:eastAsia="en-US" w:bidi="ar-SA"/>
              </w:rPr>
              <w:t>非接触式测量铁矿浆流量</w:t>
            </w:r>
            <w:r>
              <w:rPr>
                <w:rFonts w:hint="eastAsia" w:cs="Times New Roman"/>
                <w:b/>
                <w:bCs/>
                <w:snapToGrid w:val="0"/>
                <w:color w:val="000000"/>
                <w:kern w:val="0"/>
                <w:sz w:val="24"/>
                <w:szCs w:val="24"/>
                <w:lang w:val="en-US" w:eastAsia="zh-CN" w:bidi="ar-SA"/>
              </w:rPr>
              <w:t>，</w:t>
            </w:r>
            <w:r>
              <w:rPr>
                <w:rFonts w:hint="eastAsia" w:ascii="仿宋" w:hAnsi="仿宋" w:eastAsia="仿宋" w:cs="Times New Roman"/>
                <w:b/>
                <w:bCs/>
                <w:snapToGrid w:val="0"/>
                <w:color w:val="000000"/>
                <w:kern w:val="0"/>
                <w:sz w:val="24"/>
                <w:szCs w:val="24"/>
                <w:lang w:val="en-US" w:eastAsia="en-US" w:bidi="ar-SA"/>
              </w:rPr>
              <w:t>支持多种管径铁矿浆管道的流量测量</w:t>
            </w:r>
            <w:r>
              <w:rPr>
                <w:rFonts w:hint="eastAsia" w:cs="Times New Roman"/>
                <w:b/>
                <w:bCs/>
                <w:snapToGrid w:val="0"/>
                <w:color w:val="000000"/>
                <w:kern w:val="0"/>
                <w:sz w:val="24"/>
                <w:szCs w:val="24"/>
                <w:lang w:val="en-US" w:eastAsia="zh-CN" w:bidi="ar-SA"/>
              </w:rPr>
              <w:t>；</w:t>
            </w:r>
            <w:r>
              <w:rPr>
                <w:rFonts w:hint="eastAsia" w:ascii="仿宋" w:hAnsi="仿宋" w:eastAsia="仿宋" w:cs="Times New Roman"/>
                <w:b/>
                <w:bCs/>
                <w:snapToGrid w:val="0"/>
                <w:color w:val="000000"/>
                <w:kern w:val="0"/>
                <w:sz w:val="24"/>
                <w:szCs w:val="24"/>
                <w:lang w:val="en-US" w:eastAsia="en-US" w:bidi="ar-SA"/>
              </w:rPr>
              <w:t>对测量的流量数据进行滤波、修正，减少干扰因素对测量结果的影响</w:t>
            </w:r>
            <w:r>
              <w:rPr>
                <w:rFonts w:hint="eastAsia" w:cs="Times New Roman"/>
                <w:b/>
                <w:bCs/>
                <w:snapToGrid w:val="0"/>
                <w:color w:val="000000"/>
                <w:kern w:val="0"/>
                <w:sz w:val="24"/>
                <w:szCs w:val="24"/>
                <w:lang w:val="en-US" w:eastAsia="zh-CN" w:bidi="ar-SA"/>
              </w:rPr>
              <w:t>；</w:t>
            </w:r>
            <w:r>
              <w:rPr>
                <w:rFonts w:hint="eastAsia" w:ascii="仿宋" w:hAnsi="仿宋" w:eastAsia="仿宋" w:cs="Times New Roman"/>
                <w:b/>
                <w:bCs/>
                <w:snapToGrid w:val="0"/>
                <w:color w:val="000000"/>
                <w:kern w:val="0"/>
                <w:sz w:val="24"/>
                <w:szCs w:val="24"/>
                <w:lang w:val="en-US" w:eastAsia="zh-CN" w:bidi="ar-SA"/>
              </w:rPr>
              <w:t>精度达到±0.5%</w:t>
            </w:r>
            <w:r>
              <w:rPr>
                <w:rFonts w:hint="eastAsia" w:cs="Times New Roman"/>
                <w:b/>
                <w:bCs/>
                <w:snapToGrid w:val="0"/>
                <w:color w:val="000000"/>
                <w:kern w:val="0"/>
                <w:sz w:val="24"/>
                <w:szCs w:val="24"/>
                <w:lang w:val="en-US" w:eastAsia="zh-CN" w:bidi="ar-SA"/>
              </w:rPr>
              <w:t>；</w:t>
            </w:r>
            <w:r>
              <w:rPr>
                <w:rFonts w:hint="eastAsia" w:ascii="仿宋" w:hAnsi="仿宋" w:eastAsia="仿宋" w:cs="Times New Roman"/>
                <w:b/>
                <w:bCs/>
                <w:snapToGrid w:val="0"/>
                <w:color w:val="000000"/>
                <w:kern w:val="0"/>
                <w:sz w:val="24"/>
                <w:szCs w:val="24"/>
                <w:lang w:val="en-US" w:eastAsia="en-US" w:bidi="ar-SA"/>
              </w:rPr>
              <w:t>具备较强的抗电磁干扰、抗振动干扰能力。</w:t>
            </w:r>
          </w:p>
        </w:tc>
        <w:tc>
          <w:tcPr>
            <w:tcW w:w="1480" w:type="dxa"/>
            <w:vMerge w:val="restart"/>
            <w:noWrap w:val="0"/>
            <w:vAlign w:val="center"/>
          </w:tcPr>
          <w:p w14:paraId="05ED2CEC">
            <w:pPr>
              <w:widowControl w:val="0"/>
              <w:jc w:val="center"/>
              <w:rPr>
                <w:rFonts w:hint="eastAsia" w:ascii="仿宋" w:hAnsi="仿宋" w:eastAsia="仿宋" w:cs="仿宋"/>
                <w:b/>
                <w:bCs/>
                <w:sz w:val="24"/>
                <w:szCs w:val="24"/>
                <w:vertAlign w:val="baseline"/>
                <w:lang w:val="en-US" w:eastAsia="zh-CN"/>
              </w:rPr>
            </w:pPr>
            <w:r>
              <w:rPr>
                <w:rFonts w:hint="eastAsia" w:ascii="Times New Roman" w:hAnsi="Times New Roman" w:eastAsia="仿宋"/>
                <w:b/>
                <w:bCs/>
                <w:sz w:val="24"/>
                <w:szCs w:val="24"/>
                <w:lang w:val="en-US" w:eastAsia="zh-CN"/>
              </w:rPr>
              <w:t>江苏红光仪表厂有限公司</w:t>
            </w:r>
          </w:p>
        </w:tc>
      </w:tr>
      <w:tr w14:paraId="37D4B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1C32302E">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2</w:t>
            </w:r>
          </w:p>
        </w:tc>
        <w:tc>
          <w:tcPr>
            <w:tcW w:w="1620" w:type="dxa"/>
            <w:noWrap w:val="0"/>
            <w:vAlign w:val="center"/>
          </w:tcPr>
          <w:p w14:paraId="692217D3">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lang w:val="en-US" w:eastAsia="zh-CN"/>
              </w:rPr>
              <w:t>高温高真空环境下差压测量</w:t>
            </w:r>
          </w:p>
        </w:tc>
        <w:tc>
          <w:tcPr>
            <w:tcW w:w="5040" w:type="dxa"/>
            <w:noWrap w:val="0"/>
            <w:vAlign w:val="top"/>
          </w:tcPr>
          <w:p w14:paraId="1CD68695">
            <w:pPr>
              <w:pStyle w:val="2"/>
              <w:widowControl w:val="0"/>
              <w:numPr>
                <w:ilvl w:val="0"/>
                <w:numId w:val="0"/>
              </w:numPr>
              <w:jc w:val="left"/>
              <w:rPr>
                <w:rFonts w:hint="eastAsia" w:ascii="仿宋" w:hAnsi="仿宋" w:eastAsia="仿宋" w:cs="仿宋"/>
                <w:b/>
                <w:bCs/>
                <w:sz w:val="24"/>
                <w:szCs w:val="24"/>
                <w:vertAlign w:val="baseline"/>
                <w:lang w:val="en-US" w:eastAsia="zh-CN"/>
              </w:rPr>
            </w:pPr>
            <w:r>
              <w:rPr>
                <w:rFonts w:hint="eastAsia" w:ascii="仿宋" w:hAnsi="仿宋" w:eastAsia="仿宋" w:cs="仿宋"/>
                <w:b/>
                <w:bCs/>
                <w:snapToGrid w:val="0"/>
                <w:color w:val="auto"/>
                <w:kern w:val="0"/>
                <w:sz w:val="24"/>
                <w:szCs w:val="24"/>
                <w:lang w:val="en-US" w:eastAsia="en-US" w:bidi="ar-SA"/>
              </w:rPr>
              <w:t>具备高温耐受与温度补偿功能</w:t>
            </w:r>
            <w:r>
              <w:rPr>
                <w:rFonts w:hint="eastAsia" w:cs="仿宋"/>
                <w:b/>
                <w:bCs/>
                <w:snapToGrid w:val="0"/>
                <w:color w:val="auto"/>
                <w:kern w:val="0"/>
                <w:sz w:val="24"/>
                <w:szCs w:val="24"/>
                <w:lang w:val="en-US" w:eastAsia="zh-CN" w:bidi="ar-SA"/>
              </w:rPr>
              <w:t>；</w:t>
            </w:r>
            <w:r>
              <w:rPr>
                <w:rFonts w:hint="eastAsia" w:ascii="仿宋" w:hAnsi="仿宋" w:eastAsia="仿宋" w:cs="仿宋"/>
                <w:b/>
                <w:bCs/>
                <w:snapToGrid w:val="0"/>
                <w:color w:val="auto"/>
                <w:kern w:val="0"/>
                <w:sz w:val="24"/>
                <w:szCs w:val="24"/>
                <w:lang w:val="en-US" w:eastAsia="en-US" w:bidi="ar-SA"/>
              </w:rPr>
              <w:t>具备高真空密封保护功能</w:t>
            </w:r>
            <w:r>
              <w:rPr>
                <w:rFonts w:hint="eastAsia" w:cs="仿宋"/>
                <w:b/>
                <w:bCs/>
                <w:snapToGrid w:val="0"/>
                <w:color w:val="auto"/>
                <w:kern w:val="0"/>
                <w:sz w:val="24"/>
                <w:szCs w:val="24"/>
                <w:lang w:val="en-US" w:eastAsia="zh-CN" w:bidi="ar-SA"/>
              </w:rPr>
              <w:t>；</w:t>
            </w:r>
            <w:r>
              <w:rPr>
                <w:rFonts w:hint="eastAsia" w:ascii="仿宋" w:hAnsi="仿宋" w:eastAsia="仿宋" w:cs="仿宋"/>
                <w:b/>
                <w:bCs/>
                <w:snapToGrid w:val="0"/>
                <w:color w:val="auto"/>
                <w:kern w:val="0"/>
                <w:sz w:val="24"/>
                <w:szCs w:val="24"/>
                <w:lang w:val="en-US" w:eastAsia="en-US" w:bidi="ar-SA"/>
              </w:rPr>
              <w:t>差压测量精度需达到±</w:t>
            </w:r>
            <w:r>
              <w:rPr>
                <w:rFonts w:hint="eastAsia" w:ascii="仿宋" w:hAnsi="仿宋" w:eastAsia="仿宋" w:cs="仿宋"/>
                <w:b/>
                <w:bCs/>
                <w:snapToGrid w:val="0"/>
                <w:color w:val="auto"/>
                <w:kern w:val="0"/>
                <w:sz w:val="24"/>
                <w:szCs w:val="24"/>
                <w:lang w:val="en-US" w:eastAsia="zh-CN" w:bidi="ar-SA"/>
              </w:rPr>
              <w:t>0.2</w:t>
            </w:r>
            <w:r>
              <w:rPr>
                <w:rFonts w:hint="eastAsia" w:ascii="仿宋" w:hAnsi="仿宋" w:eastAsia="仿宋" w:cs="仿宋"/>
                <w:b/>
                <w:bCs/>
                <w:snapToGrid w:val="0"/>
                <w:color w:val="auto"/>
                <w:kern w:val="0"/>
                <w:sz w:val="24"/>
                <w:szCs w:val="24"/>
                <w:lang w:val="en-US" w:eastAsia="en-US" w:bidi="ar-SA"/>
              </w:rPr>
              <w:t>% FS，在全量程范围内精度偏差需保持一致。</w:t>
            </w:r>
          </w:p>
        </w:tc>
        <w:tc>
          <w:tcPr>
            <w:tcW w:w="1480" w:type="dxa"/>
            <w:vMerge w:val="continue"/>
            <w:noWrap w:val="0"/>
            <w:vAlign w:val="center"/>
          </w:tcPr>
          <w:p w14:paraId="3E730B5E">
            <w:pPr>
              <w:widowControl w:val="0"/>
              <w:jc w:val="center"/>
              <w:rPr>
                <w:rFonts w:hint="eastAsia" w:ascii="仿宋" w:hAnsi="仿宋" w:eastAsia="仿宋" w:cs="仿宋"/>
                <w:b/>
                <w:bCs/>
                <w:sz w:val="24"/>
                <w:szCs w:val="24"/>
                <w:vertAlign w:val="baseline"/>
                <w:lang w:val="en-US" w:eastAsia="zh-CN"/>
              </w:rPr>
            </w:pPr>
          </w:p>
        </w:tc>
      </w:tr>
      <w:tr w14:paraId="349E7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74532423">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3</w:t>
            </w:r>
          </w:p>
        </w:tc>
        <w:tc>
          <w:tcPr>
            <w:tcW w:w="1620" w:type="dxa"/>
            <w:noWrap w:val="0"/>
            <w:vAlign w:val="center"/>
          </w:tcPr>
          <w:p w14:paraId="243BD430">
            <w:pPr>
              <w:widowControl w:val="0"/>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napToGrid w:val="0"/>
                <w:color w:val="000000"/>
                <w:kern w:val="0"/>
                <w:sz w:val="24"/>
                <w:szCs w:val="24"/>
                <w:lang w:val="en-US" w:eastAsia="zh-CN" w:bidi="ar-SA"/>
              </w:rPr>
              <w:t>微小压力差的测量</w:t>
            </w:r>
          </w:p>
        </w:tc>
        <w:tc>
          <w:tcPr>
            <w:tcW w:w="5040" w:type="dxa"/>
            <w:noWrap w:val="0"/>
            <w:vAlign w:val="top"/>
          </w:tcPr>
          <w:p w14:paraId="17FDDFA7">
            <w:pPr>
              <w:widowControl w:val="0"/>
              <w:spacing w:line="360" w:lineRule="exact"/>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napToGrid w:val="0"/>
                <w:color w:val="auto"/>
                <w:kern w:val="0"/>
                <w:sz w:val="24"/>
                <w:szCs w:val="24"/>
                <w:lang w:val="en-US" w:eastAsia="zh-CN" w:bidi="ar-SA"/>
              </w:rPr>
              <w:t>恶劣工况下使用双法兰测量，量程0-1kPa，精度0.5%，过载能力500kPa，法兰DN50</w:t>
            </w:r>
          </w:p>
        </w:tc>
        <w:tc>
          <w:tcPr>
            <w:tcW w:w="1480" w:type="dxa"/>
            <w:vMerge w:val="continue"/>
            <w:noWrap w:val="0"/>
            <w:vAlign w:val="center"/>
          </w:tcPr>
          <w:p w14:paraId="2B74D312">
            <w:pPr>
              <w:widowControl w:val="0"/>
              <w:jc w:val="center"/>
              <w:rPr>
                <w:rFonts w:hint="eastAsia" w:ascii="仿宋" w:hAnsi="仿宋" w:eastAsia="仿宋" w:cs="仿宋"/>
                <w:b/>
                <w:bCs/>
                <w:sz w:val="24"/>
                <w:szCs w:val="24"/>
                <w:vertAlign w:val="baseline"/>
                <w:lang w:val="en-US" w:eastAsia="zh-CN"/>
              </w:rPr>
            </w:pPr>
          </w:p>
        </w:tc>
      </w:tr>
      <w:tr w14:paraId="59F23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68A5797D">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4</w:t>
            </w:r>
          </w:p>
        </w:tc>
        <w:tc>
          <w:tcPr>
            <w:tcW w:w="1620" w:type="dxa"/>
            <w:noWrap w:val="0"/>
            <w:vAlign w:val="center"/>
          </w:tcPr>
          <w:p w14:paraId="7FFA30FD">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lang w:val="en-US" w:eastAsia="zh-CN"/>
              </w:rPr>
              <w:t>固体颗粒流量计</w:t>
            </w:r>
          </w:p>
        </w:tc>
        <w:tc>
          <w:tcPr>
            <w:tcW w:w="5040" w:type="dxa"/>
            <w:noWrap w:val="0"/>
            <w:vAlign w:val="top"/>
          </w:tcPr>
          <w:p w14:paraId="38713616">
            <w:pPr>
              <w:pStyle w:val="2"/>
              <w:widowControl w:val="0"/>
              <w:rPr>
                <w:rFonts w:hint="eastAsia" w:ascii="仿宋" w:hAnsi="仿宋" w:eastAsia="仿宋" w:cs="仿宋"/>
                <w:b/>
                <w:bCs/>
                <w:sz w:val="24"/>
                <w:szCs w:val="24"/>
                <w:vertAlign w:val="baseline"/>
                <w:lang w:val="en-US" w:eastAsia="zh-CN"/>
              </w:rPr>
            </w:pPr>
            <w:r>
              <w:rPr>
                <w:rFonts w:hint="eastAsia" w:cs="仿宋"/>
                <w:b/>
                <w:bCs/>
                <w:snapToGrid w:val="0"/>
                <w:color w:val="auto"/>
                <w:kern w:val="0"/>
                <w:sz w:val="24"/>
                <w:szCs w:val="24"/>
                <w:lang w:val="en-US" w:eastAsia="zh-CN" w:bidi="ar-SA"/>
              </w:rPr>
              <w:t>具有</w:t>
            </w:r>
            <w:r>
              <w:rPr>
                <w:rFonts w:hint="default" w:ascii="仿宋" w:hAnsi="仿宋" w:eastAsia="仿宋" w:cs="仿宋"/>
                <w:b/>
                <w:bCs/>
                <w:snapToGrid w:val="0"/>
                <w:color w:val="auto"/>
                <w:kern w:val="0"/>
                <w:sz w:val="24"/>
                <w:szCs w:val="24"/>
                <w:lang w:val="en-US" w:eastAsia="zh-CN" w:bidi="ar-SA"/>
              </w:rPr>
              <w:t>优异的抗磨损与自适应校准能力：</w:t>
            </w:r>
            <w:r>
              <w:rPr>
                <w:rFonts w:hint="eastAsia" w:cs="仿宋"/>
                <w:b/>
                <w:bCs/>
                <w:snapToGrid w:val="0"/>
                <w:color w:val="auto"/>
                <w:kern w:val="0"/>
                <w:sz w:val="24"/>
                <w:szCs w:val="24"/>
                <w:lang w:val="en-US" w:eastAsia="zh-CN" w:bidi="ar-SA"/>
              </w:rPr>
              <w:t>具有</w:t>
            </w:r>
            <w:r>
              <w:rPr>
                <w:rFonts w:hint="default" w:ascii="仿宋" w:hAnsi="仿宋" w:eastAsia="仿宋" w:cs="仿宋"/>
                <w:b/>
                <w:bCs/>
                <w:snapToGrid w:val="0"/>
                <w:color w:val="auto"/>
                <w:kern w:val="0"/>
                <w:sz w:val="24"/>
                <w:szCs w:val="24"/>
                <w:lang w:val="en-US" w:eastAsia="zh-CN" w:bidi="ar-SA"/>
              </w:rPr>
              <w:t>高精度浓度变化补偿与信号处理功能：</w:t>
            </w:r>
            <w:r>
              <w:rPr>
                <w:rFonts w:hint="eastAsia" w:cs="仿宋"/>
                <w:b/>
                <w:bCs/>
                <w:snapToGrid w:val="0"/>
                <w:color w:val="auto"/>
                <w:kern w:val="0"/>
                <w:sz w:val="24"/>
                <w:szCs w:val="24"/>
                <w:lang w:val="en-US" w:eastAsia="zh-CN" w:bidi="ar-SA"/>
              </w:rPr>
              <w:t>具有</w:t>
            </w:r>
            <w:r>
              <w:rPr>
                <w:rFonts w:hint="default" w:ascii="仿宋" w:hAnsi="仿宋" w:eastAsia="仿宋" w:cs="仿宋"/>
                <w:b/>
                <w:bCs/>
                <w:snapToGrid w:val="0"/>
                <w:color w:val="auto"/>
                <w:kern w:val="0"/>
                <w:sz w:val="24"/>
                <w:szCs w:val="24"/>
                <w:lang w:val="en-US" w:eastAsia="zh-CN" w:bidi="ar-SA"/>
              </w:rPr>
              <w:t>防堵塞与自清洁设计。</w:t>
            </w:r>
          </w:p>
        </w:tc>
        <w:tc>
          <w:tcPr>
            <w:tcW w:w="1480" w:type="dxa"/>
            <w:vMerge w:val="continue"/>
            <w:noWrap w:val="0"/>
            <w:vAlign w:val="center"/>
          </w:tcPr>
          <w:p w14:paraId="4F3D55EB">
            <w:pPr>
              <w:widowControl w:val="0"/>
              <w:jc w:val="center"/>
              <w:rPr>
                <w:rFonts w:hint="eastAsia" w:ascii="仿宋" w:hAnsi="仿宋" w:eastAsia="仿宋" w:cs="仿宋"/>
                <w:b/>
                <w:bCs/>
                <w:sz w:val="24"/>
                <w:szCs w:val="24"/>
                <w:vertAlign w:val="baseline"/>
                <w:lang w:val="en-US" w:eastAsia="zh-CN"/>
              </w:rPr>
            </w:pPr>
          </w:p>
        </w:tc>
      </w:tr>
      <w:tr w14:paraId="164FD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5F10D685">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5</w:t>
            </w:r>
          </w:p>
        </w:tc>
        <w:tc>
          <w:tcPr>
            <w:tcW w:w="1620" w:type="dxa"/>
            <w:noWrap w:val="0"/>
            <w:vAlign w:val="center"/>
          </w:tcPr>
          <w:p w14:paraId="78D74CB3">
            <w:pPr>
              <w:widowControl w:val="0"/>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高精度固体质量流量计</w:t>
            </w:r>
          </w:p>
        </w:tc>
        <w:tc>
          <w:tcPr>
            <w:tcW w:w="5040" w:type="dxa"/>
            <w:noWrap w:val="0"/>
            <w:vAlign w:val="top"/>
          </w:tcPr>
          <w:p w14:paraId="181A5CCD">
            <w:pPr>
              <w:pStyle w:val="2"/>
              <w:widowControl w:val="0"/>
              <w:numPr>
                <w:ilvl w:val="0"/>
                <w:numId w:val="0"/>
              </w:numPr>
              <w:rPr>
                <w:rFonts w:hint="default" w:ascii="仿宋" w:hAnsi="仿宋" w:eastAsia="仿宋" w:cs="仿宋"/>
                <w:b/>
                <w:bCs/>
                <w:snapToGrid w:val="0"/>
                <w:color w:val="auto"/>
                <w:kern w:val="0"/>
                <w:sz w:val="24"/>
                <w:szCs w:val="24"/>
                <w:lang w:val="en-US" w:eastAsia="zh-CN" w:bidi="ar-SA"/>
              </w:rPr>
            </w:pPr>
            <w:r>
              <w:rPr>
                <w:rFonts w:hint="eastAsia" w:cs="仿宋"/>
                <w:b/>
                <w:bCs/>
                <w:snapToGrid w:val="0"/>
                <w:color w:val="auto"/>
                <w:kern w:val="0"/>
                <w:sz w:val="24"/>
                <w:szCs w:val="24"/>
                <w:lang w:val="en-US" w:eastAsia="zh-CN" w:bidi="ar-SA"/>
              </w:rPr>
              <w:t>针对悬浮密度的测量，固体（粉料）在线输送的悬浮密度是固体质量流量计测量的最大难度和最重要核心参数。采用了多组电极进行旋转扫描、超量采用和冗余计算，来提高测量精度；</w:t>
            </w:r>
          </w:p>
          <w:p w14:paraId="0CB6F048">
            <w:pPr>
              <w:pStyle w:val="2"/>
              <w:widowControl w:val="0"/>
              <w:rPr>
                <w:rFonts w:hint="eastAsia" w:cs="仿宋"/>
                <w:b/>
                <w:bCs/>
                <w:snapToGrid w:val="0"/>
                <w:color w:val="auto"/>
                <w:kern w:val="0"/>
                <w:sz w:val="24"/>
                <w:szCs w:val="24"/>
                <w:lang w:val="en-US" w:eastAsia="zh-CN" w:bidi="ar-SA"/>
              </w:rPr>
            </w:pPr>
            <w:r>
              <w:rPr>
                <w:rFonts w:hint="eastAsia" w:cs="仿宋"/>
                <w:b/>
                <w:bCs/>
                <w:snapToGrid w:val="0"/>
                <w:color w:val="auto"/>
                <w:kern w:val="0"/>
                <w:sz w:val="24"/>
                <w:szCs w:val="24"/>
                <w:lang w:val="en-US" w:eastAsia="zh-CN" w:bidi="ar-SA"/>
              </w:rPr>
              <w:t>粉料如果含水，会被几十倍的放大成固体的重量。因此要求在测量过程中，增加了对水分的测量和补充。需要精度在1%以内。</w:t>
            </w:r>
          </w:p>
        </w:tc>
        <w:tc>
          <w:tcPr>
            <w:tcW w:w="1480" w:type="dxa"/>
            <w:vMerge w:val="continue"/>
            <w:noWrap w:val="0"/>
            <w:vAlign w:val="center"/>
          </w:tcPr>
          <w:p w14:paraId="75B48734">
            <w:pPr>
              <w:widowControl w:val="0"/>
              <w:jc w:val="center"/>
              <w:rPr>
                <w:rFonts w:hint="eastAsia" w:ascii="仿宋" w:hAnsi="仿宋" w:eastAsia="仿宋" w:cs="仿宋"/>
                <w:b/>
                <w:bCs/>
                <w:sz w:val="24"/>
                <w:szCs w:val="24"/>
                <w:vertAlign w:val="baseline"/>
                <w:lang w:val="en-US" w:eastAsia="zh-CN"/>
              </w:rPr>
            </w:pPr>
          </w:p>
        </w:tc>
      </w:tr>
      <w:tr w14:paraId="3283A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37204684">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6</w:t>
            </w:r>
          </w:p>
        </w:tc>
        <w:tc>
          <w:tcPr>
            <w:tcW w:w="1620" w:type="dxa"/>
            <w:noWrap w:val="0"/>
            <w:vAlign w:val="center"/>
          </w:tcPr>
          <w:p w14:paraId="735E4A88">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kern w:val="0"/>
                <w:sz w:val="24"/>
                <w:szCs w:val="24"/>
                <w:lang w:val="en-US" w:eastAsia="zh-CN" w:bidi="ar-SA"/>
              </w:rPr>
              <w:t>天然气涡街流量</w:t>
            </w:r>
          </w:p>
        </w:tc>
        <w:tc>
          <w:tcPr>
            <w:tcW w:w="5040" w:type="dxa"/>
            <w:noWrap w:val="0"/>
            <w:vAlign w:val="top"/>
          </w:tcPr>
          <w:p w14:paraId="638317F4">
            <w:pPr>
              <w:pStyle w:val="2"/>
              <w:widowControl w:val="0"/>
              <w:numPr>
                <w:ilvl w:val="0"/>
                <w:numId w:val="0"/>
              </w:numPr>
              <w:rPr>
                <w:rFonts w:hint="eastAsia" w:ascii="仿宋" w:hAnsi="仿宋" w:eastAsia="仿宋" w:cs="仿宋"/>
                <w:b/>
                <w:bCs/>
                <w:sz w:val="24"/>
                <w:szCs w:val="24"/>
                <w:vertAlign w:val="baseline"/>
                <w:lang w:val="en-US" w:eastAsia="zh-CN"/>
              </w:rPr>
            </w:pPr>
            <w:r>
              <w:rPr>
                <w:rFonts w:hint="eastAsia" w:ascii="仿宋" w:hAnsi="仿宋" w:eastAsia="仿宋" w:cs="仿宋"/>
                <w:b/>
                <w:bCs/>
                <w:snapToGrid w:val="0"/>
                <w:color w:val="auto"/>
                <w:kern w:val="0"/>
                <w:sz w:val="24"/>
                <w:szCs w:val="24"/>
                <w:lang w:val="en-US" w:eastAsia="zh-CN" w:bidi="ar-SA"/>
              </w:rPr>
              <w:t>测天然气流速满足1-15m/s</w:t>
            </w:r>
            <w:r>
              <w:rPr>
                <w:rFonts w:hint="eastAsia" w:cs="仿宋"/>
                <w:b/>
                <w:bCs/>
                <w:snapToGrid w:val="0"/>
                <w:color w:val="auto"/>
                <w:kern w:val="0"/>
                <w:sz w:val="24"/>
                <w:szCs w:val="24"/>
                <w:lang w:val="en-US" w:eastAsia="zh-CN" w:bidi="ar-SA"/>
              </w:rPr>
              <w:t>，</w:t>
            </w:r>
            <w:r>
              <w:rPr>
                <w:rFonts w:hint="eastAsia" w:ascii="仿宋" w:hAnsi="仿宋" w:eastAsia="仿宋" w:cs="仿宋"/>
                <w:b/>
                <w:bCs/>
                <w:snapToGrid w:val="0"/>
                <w:color w:val="auto"/>
                <w:kern w:val="0"/>
                <w:sz w:val="24"/>
                <w:szCs w:val="24"/>
                <w:lang w:val="en-US" w:eastAsia="zh-CN" w:bidi="ar-SA"/>
              </w:rPr>
              <w:t>精度1.5</w:t>
            </w:r>
            <w:r>
              <w:rPr>
                <w:rFonts w:hint="eastAsia" w:cs="仿宋"/>
                <w:b/>
                <w:bCs/>
                <w:snapToGrid w:val="0"/>
                <w:color w:val="auto"/>
                <w:kern w:val="0"/>
                <w:sz w:val="24"/>
                <w:szCs w:val="24"/>
                <w:lang w:val="en-US" w:eastAsia="zh-CN" w:bidi="ar-SA"/>
              </w:rPr>
              <w:t>级</w:t>
            </w:r>
            <w:r>
              <w:rPr>
                <w:rFonts w:hint="eastAsia" w:ascii="仿宋" w:hAnsi="仿宋" w:eastAsia="仿宋" w:cs="仿宋"/>
                <w:b/>
                <w:bCs/>
                <w:snapToGrid w:val="0"/>
                <w:color w:val="auto"/>
                <w:kern w:val="0"/>
                <w:sz w:val="24"/>
                <w:szCs w:val="24"/>
                <w:lang w:val="en-US" w:eastAsia="zh-CN" w:bidi="ar-SA"/>
              </w:rPr>
              <w:t>，重复性0.3%，无需分段</w:t>
            </w:r>
            <w:r>
              <w:rPr>
                <w:rFonts w:hint="eastAsia" w:cs="仿宋"/>
                <w:b/>
                <w:bCs/>
                <w:snapToGrid w:val="0"/>
                <w:color w:val="auto"/>
                <w:kern w:val="0"/>
                <w:sz w:val="24"/>
                <w:szCs w:val="24"/>
                <w:lang w:val="en-US" w:eastAsia="zh-CN" w:bidi="ar-SA"/>
              </w:rPr>
              <w:t>；</w:t>
            </w:r>
            <w:r>
              <w:rPr>
                <w:rFonts w:hint="eastAsia" w:ascii="仿宋" w:hAnsi="仿宋" w:eastAsia="仿宋" w:cs="仿宋"/>
                <w:b/>
                <w:bCs/>
                <w:snapToGrid w:val="0"/>
                <w:color w:val="auto"/>
                <w:kern w:val="0"/>
                <w:sz w:val="24"/>
                <w:szCs w:val="24"/>
                <w:lang w:val="en-US" w:eastAsia="zh-CN" w:bidi="ar-SA"/>
              </w:rPr>
              <w:t>具有湿度补偿功能</w:t>
            </w:r>
            <w:r>
              <w:rPr>
                <w:rFonts w:hint="eastAsia" w:cs="仿宋"/>
                <w:b/>
                <w:bCs/>
                <w:snapToGrid w:val="0"/>
                <w:color w:val="auto"/>
                <w:kern w:val="0"/>
                <w:sz w:val="24"/>
                <w:szCs w:val="24"/>
                <w:lang w:val="en-US" w:eastAsia="zh-CN" w:bidi="ar-SA"/>
              </w:rPr>
              <w:t>，</w:t>
            </w:r>
            <w:r>
              <w:rPr>
                <w:rFonts w:hint="eastAsia" w:ascii="仿宋" w:hAnsi="仿宋" w:eastAsia="仿宋" w:cs="仿宋"/>
                <w:b/>
                <w:bCs/>
                <w:snapToGrid w:val="0"/>
                <w:color w:val="auto"/>
                <w:kern w:val="0"/>
                <w:sz w:val="24"/>
                <w:szCs w:val="24"/>
                <w:lang w:val="en-US" w:eastAsia="zh-CN" w:bidi="ar-SA"/>
              </w:rPr>
              <w:t>有一定的抗脏污能力</w:t>
            </w:r>
            <w:r>
              <w:rPr>
                <w:rFonts w:hint="eastAsia" w:cs="仿宋"/>
                <w:b/>
                <w:bCs/>
                <w:snapToGrid w:val="0"/>
                <w:color w:val="auto"/>
                <w:kern w:val="0"/>
                <w:sz w:val="24"/>
                <w:szCs w:val="24"/>
                <w:lang w:val="en-US" w:eastAsia="zh-CN" w:bidi="ar-SA"/>
              </w:rPr>
              <w:t>；</w:t>
            </w:r>
            <w:r>
              <w:rPr>
                <w:rFonts w:hint="eastAsia" w:ascii="仿宋" w:hAnsi="仿宋" w:eastAsia="仿宋" w:cs="仿宋"/>
                <w:b/>
                <w:bCs/>
                <w:snapToGrid w:val="0"/>
                <w:color w:val="auto"/>
                <w:kern w:val="0"/>
                <w:sz w:val="24"/>
                <w:szCs w:val="24"/>
                <w:lang w:val="en-US" w:eastAsia="zh-CN" w:bidi="ar-SA"/>
              </w:rPr>
              <w:t>需要样机机并送检通过，现场试用验收合格，并申请或授权专利数不少于2-3个。</w:t>
            </w:r>
          </w:p>
        </w:tc>
        <w:tc>
          <w:tcPr>
            <w:tcW w:w="1480" w:type="dxa"/>
            <w:vMerge w:val="restart"/>
            <w:noWrap w:val="0"/>
            <w:vAlign w:val="center"/>
          </w:tcPr>
          <w:p w14:paraId="3941B353">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pacing w:val="-6"/>
                <w:sz w:val="24"/>
                <w:szCs w:val="24"/>
                <w:lang w:val="en-US" w:eastAsia="zh-CN"/>
              </w:rPr>
              <w:t>江苏华流仪表有限公司</w:t>
            </w:r>
          </w:p>
        </w:tc>
      </w:tr>
      <w:tr w14:paraId="30A8F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6" w:type="dxa"/>
            <w:noWrap w:val="0"/>
            <w:vAlign w:val="center"/>
          </w:tcPr>
          <w:p w14:paraId="3BA4E836">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7</w:t>
            </w:r>
          </w:p>
        </w:tc>
        <w:tc>
          <w:tcPr>
            <w:tcW w:w="1620" w:type="dxa"/>
            <w:noWrap w:val="0"/>
            <w:vAlign w:val="center"/>
          </w:tcPr>
          <w:p w14:paraId="7734C3A8">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kern w:val="0"/>
                <w:sz w:val="24"/>
                <w:szCs w:val="24"/>
                <w:lang w:val="en-US" w:eastAsia="zh-CN" w:bidi="ar-SA"/>
              </w:rPr>
              <w:t>热式气体质量流量计测量氢气模拟仿真（CFD）</w:t>
            </w:r>
          </w:p>
        </w:tc>
        <w:tc>
          <w:tcPr>
            <w:tcW w:w="5040" w:type="dxa"/>
            <w:noWrap w:val="0"/>
            <w:vAlign w:val="top"/>
          </w:tcPr>
          <w:p w14:paraId="7FE67AD8">
            <w:pPr>
              <w:pStyle w:val="2"/>
              <w:widowControl w:val="0"/>
              <w:numPr>
                <w:ilvl w:val="0"/>
                <w:numId w:val="0"/>
              </w:numPr>
              <w:rPr>
                <w:rFonts w:hint="eastAsia" w:ascii="仿宋" w:hAnsi="仿宋" w:eastAsia="仿宋" w:cs="仿宋"/>
                <w:b/>
                <w:bCs/>
                <w:sz w:val="24"/>
                <w:szCs w:val="24"/>
                <w:vertAlign w:val="baseline"/>
                <w:lang w:val="en-US" w:eastAsia="zh-CN"/>
              </w:rPr>
            </w:pPr>
            <w:r>
              <w:rPr>
                <w:rFonts w:hint="eastAsia" w:ascii="仿宋" w:hAnsi="仿宋" w:eastAsia="仿宋" w:cs="仿宋"/>
                <w:b/>
                <w:bCs/>
                <w:snapToGrid w:val="0"/>
                <w:color w:val="auto"/>
                <w:kern w:val="0"/>
                <w:sz w:val="24"/>
                <w:szCs w:val="24"/>
                <w:lang w:val="en-US" w:eastAsia="zh-CN" w:bidi="ar-SA"/>
              </w:rPr>
              <w:t>需要提供氢气在不同温度、压力、湿度下的转换系数或曲线</w:t>
            </w:r>
            <w:r>
              <w:rPr>
                <w:rFonts w:hint="eastAsia" w:cs="仿宋"/>
                <w:b/>
                <w:bCs/>
                <w:snapToGrid w:val="0"/>
                <w:color w:val="auto"/>
                <w:kern w:val="0"/>
                <w:sz w:val="24"/>
                <w:szCs w:val="24"/>
                <w:lang w:val="en-US" w:eastAsia="zh-CN" w:bidi="ar-SA"/>
              </w:rPr>
              <w:t>；</w:t>
            </w:r>
            <w:r>
              <w:rPr>
                <w:rFonts w:hint="eastAsia" w:ascii="仿宋" w:hAnsi="仿宋" w:eastAsia="仿宋" w:cs="仿宋"/>
                <w:b/>
                <w:bCs/>
                <w:snapToGrid w:val="0"/>
                <w:color w:val="auto"/>
                <w:kern w:val="0"/>
                <w:sz w:val="24"/>
                <w:szCs w:val="24"/>
                <w:lang w:val="en-US" w:eastAsia="zh-CN" w:bidi="ar-SA"/>
              </w:rPr>
              <w:t>优化热式测氢气零点电压以及温度差和流量对应关系的问题</w:t>
            </w:r>
            <w:r>
              <w:rPr>
                <w:rFonts w:hint="eastAsia" w:cs="仿宋"/>
                <w:b/>
                <w:bCs/>
                <w:snapToGrid w:val="0"/>
                <w:color w:val="auto"/>
                <w:kern w:val="0"/>
                <w:sz w:val="24"/>
                <w:szCs w:val="24"/>
                <w:lang w:val="en-US" w:eastAsia="zh-CN" w:bidi="ar-SA"/>
              </w:rPr>
              <w:t>；</w:t>
            </w:r>
            <w:r>
              <w:rPr>
                <w:rFonts w:hint="eastAsia" w:ascii="仿宋" w:hAnsi="仿宋" w:eastAsia="仿宋" w:cs="仿宋"/>
                <w:b/>
                <w:bCs/>
                <w:snapToGrid w:val="0"/>
                <w:color w:val="auto"/>
                <w:kern w:val="0"/>
                <w:sz w:val="24"/>
                <w:szCs w:val="24"/>
                <w:lang w:val="en-US" w:eastAsia="zh-CN" w:bidi="ar-SA"/>
              </w:rPr>
              <w:t>对热式探头进行传热分析，优化探头结构</w:t>
            </w:r>
            <w:r>
              <w:rPr>
                <w:rFonts w:hint="eastAsia" w:cs="仿宋"/>
                <w:b/>
                <w:bCs/>
                <w:snapToGrid w:val="0"/>
                <w:color w:val="auto"/>
                <w:kern w:val="0"/>
                <w:sz w:val="24"/>
                <w:szCs w:val="24"/>
                <w:lang w:val="en-US" w:eastAsia="zh-CN" w:bidi="ar-SA"/>
              </w:rPr>
              <w:t>；</w:t>
            </w:r>
            <w:r>
              <w:rPr>
                <w:rFonts w:hint="eastAsia" w:ascii="仿宋" w:hAnsi="仿宋" w:eastAsia="仿宋" w:cs="仿宋"/>
                <w:b/>
                <w:bCs/>
                <w:snapToGrid w:val="0"/>
                <w:color w:val="auto"/>
                <w:kern w:val="0"/>
                <w:sz w:val="24"/>
                <w:szCs w:val="24"/>
                <w:lang w:val="en-US" w:eastAsia="zh-CN" w:bidi="ar-SA"/>
              </w:rPr>
              <w:t>需要样机机并送检通过，现场试用验收合格并申请或授权专利数不少于2-3个</w:t>
            </w:r>
            <w:r>
              <w:rPr>
                <w:rFonts w:hint="eastAsia" w:cs="仿宋"/>
                <w:b/>
                <w:bCs/>
                <w:snapToGrid w:val="0"/>
                <w:color w:val="auto"/>
                <w:kern w:val="0"/>
                <w:sz w:val="24"/>
                <w:szCs w:val="24"/>
                <w:lang w:val="en-US" w:eastAsia="zh-CN" w:bidi="ar-SA"/>
              </w:rPr>
              <w:t>。</w:t>
            </w:r>
          </w:p>
        </w:tc>
        <w:tc>
          <w:tcPr>
            <w:tcW w:w="1480" w:type="dxa"/>
            <w:vMerge w:val="continue"/>
            <w:noWrap w:val="0"/>
            <w:vAlign w:val="center"/>
          </w:tcPr>
          <w:p w14:paraId="3CD3B26D">
            <w:pPr>
              <w:widowControl w:val="0"/>
              <w:jc w:val="center"/>
              <w:rPr>
                <w:rFonts w:hint="eastAsia" w:ascii="仿宋" w:hAnsi="仿宋" w:eastAsia="仿宋" w:cs="仿宋"/>
                <w:b/>
                <w:bCs/>
                <w:sz w:val="24"/>
                <w:szCs w:val="24"/>
                <w:vertAlign w:val="baseline"/>
                <w:lang w:val="en-US" w:eastAsia="zh-CN"/>
              </w:rPr>
            </w:pPr>
          </w:p>
        </w:tc>
      </w:tr>
      <w:tr w14:paraId="54582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456868C8">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8</w:t>
            </w:r>
          </w:p>
        </w:tc>
        <w:tc>
          <w:tcPr>
            <w:tcW w:w="1620" w:type="dxa"/>
            <w:noWrap w:val="0"/>
            <w:vAlign w:val="center"/>
          </w:tcPr>
          <w:p w14:paraId="63C3673D">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napToGrid w:val="0"/>
                <w:color w:val="auto"/>
                <w:kern w:val="0"/>
                <w:sz w:val="24"/>
                <w:szCs w:val="24"/>
                <w:lang w:val="en-US" w:eastAsia="zh-CN" w:bidi="ar-SA"/>
              </w:rPr>
              <w:t>智能HART575手操器</w:t>
            </w:r>
          </w:p>
        </w:tc>
        <w:tc>
          <w:tcPr>
            <w:tcW w:w="5040" w:type="dxa"/>
            <w:noWrap w:val="0"/>
            <w:vAlign w:val="top"/>
          </w:tcPr>
          <w:p w14:paraId="09B505C5">
            <w:pPr>
              <w:pStyle w:val="2"/>
              <w:widowControl w:val="0"/>
              <w:rPr>
                <w:rFonts w:hint="eastAsia" w:ascii="仿宋" w:hAnsi="仿宋" w:eastAsia="仿宋" w:cs="仿宋"/>
                <w:b/>
                <w:bCs/>
                <w:sz w:val="24"/>
                <w:szCs w:val="24"/>
                <w:vertAlign w:val="baseline"/>
                <w:lang w:val="en-US" w:eastAsia="zh-CN"/>
              </w:rPr>
            </w:pPr>
            <w:r>
              <w:rPr>
                <w:rFonts w:hint="eastAsia" w:ascii="仿宋" w:hAnsi="仿宋" w:eastAsia="仿宋" w:cs="仿宋"/>
                <w:b/>
                <w:bCs/>
                <w:snapToGrid w:val="0"/>
                <w:color w:val="auto"/>
                <w:kern w:val="0"/>
                <w:sz w:val="24"/>
                <w:szCs w:val="24"/>
                <w:lang w:val="en-US" w:eastAsia="zh-CN" w:bidi="ar-SA"/>
              </w:rPr>
              <w:t>智能HART575手操器，可连接带有HART的设备进行通讯，带0-20mA</w:t>
            </w:r>
            <w:r>
              <w:rPr>
                <w:rFonts w:hint="eastAsia" w:cs="仿宋"/>
                <w:b/>
                <w:bCs/>
                <w:snapToGrid w:val="0"/>
                <w:color w:val="auto"/>
                <w:kern w:val="0"/>
                <w:sz w:val="24"/>
                <w:szCs w:val="24"/>
                <w:lang w:val="en-US" w:eastAsia="zh-CN" w:bidi="ar-SA"/>
              </w:rPr>
              <w:t>、</w:t>
            </w:r>
            <w:r>
              <w:rPr>
                <w:rFonts w:hint="eastAsia" w:ascii="仿宋" w:hAnsi="仿宋" w:eastAsia="仿宋" w:cs="仿宋"/>
                <w:b/>
                <w:bCs/>
                <w:snapToGrid w:val="0"/>
                <w:color w:val="auto"/>
                <w:kern w:val="0"/>
                <w:sz w:val="24"/>
                <w:szCs w:val="24"/>
                <w:lang w:val="en-US" w:eastAsia="zh-CN" w:bidi="ar-SA"/>
              </w:rPr>
              <w:t>0-10V电压</w:t>
            </w:r>
            <w:r>
              <w:rPr>
                <w:rFonts w:hint="eastAsia" w:cs="仿宋"/>
                <w:b/>
                <w:bCs/>
                <w:snapToGrid w:val="0"/>
                <w:color w:val="auto"/>
                <w:kern w:val="0"/>
                <w:sz w:val="24"/>
                <w:szCs w:val="24"/>
                <w:lang w:val="en-US" w:eastAsia="zh-CN" w:bidi="ar-SA"/>
              </w:rPr>
              <w:t>输入</w:t>
            </w:r>
            <w:r>
              <w:rPr>
                <w:rFonts w:hint="eastAsia" w:ascii="仿宋" w:hAnsi="仿宋" w:eastAsia="仿宋" w:cs="仿宋"/>
                <w:b/>
                <w:bCs/>
                <w:snapToGrid w:val="0"/>
                <w:color w:val="auto"/>
                <w:kern w:val="0"/>
                <w:sz w:val="24"/>
                <w:szCs w:val="24"/>
                <w:lang w:val="en-US" w:eastAsia="zh-CN" w:bidi="ar-SA"/>
              </w:rPr>
              <w:t>测量，带0-20mA输出等功能</w:t>
            </w:r>
            <w:r>
              <w:rPr>
                <w:rFonts w:hint="eastAsia" w:cs="仿宋"/>
                <w:b/>
                <w:bCs/>
                <w:snapToGrid w:val="0"/>
                <w:color w:val="auto"/>
                <w:kern w:val="0"/>
                <w:sz w:val="24"/>
                <w:szCs w:val="24"/>
                <w:lang w:val="en-US" w:eastAsia="zh-CN" w:bidi="ar-SA"/>
              </w:rPr>
              <w:t>。</w:t>
            </w:r>
          </w:p>
        </w:tc>
        <w:tc>
          <w:tcPr>
            <w:tcW w:w="1480" w:type="dxa"/>
            <w:noWrap w:val="0"/>
            <w:vAlign w:val="center"/>
          </w:tcPr>
          <w:p w14:paraId="2344C0E0">
            <w:pPr>
              <w:widowControl w:val="0"/>
              <w:jc w:val="center"/>
              <w:rPr>
                <w:rFonts w:hint="eastAsia" w:ascii="仿宋" w:hAnsi="仿宋" w:eastAsia="仿宋" w:cs="仿宋"/>
                <w:b/>
                <w:bCs/>
                <w:sz w:val="24"/>
                <w:szCs w:val="24"/>
                <w:vertAlign w:val="baseline"/>
                <w:lang w:val="en-US" w:eastAsia="zh-CN"/>
              </w:rPr>
            </w:pPr>
            <w:r>
              <w:rPr>
                <w:rFonts w:hint="eastAsia" w:ascii="Times New Roman" w:hAnsi="Times New Roman" w:eastAsia="仿宋"/>
                <w:b/>
                <w:bCs/>
                <w:sz w:val="24"/>
                <w:szCs w:val="24"/>
                <w:lang w:val="en-US" w:eastAsia="zh-CN"/>
              </w:rPr>
              <w:t>江苏菲尔德自动化仪表有限公司</w:t>
            </w:r>
          </w:p>
        </w:tc>
      </w:tr>
      <w:tr w14:paraId="23070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2A98050C">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9</w:t>
            </w:r>
          </w:p>
        </w:tc>
        <w:tc>
          <w:tcPr>
            <w:tcW w:w="1620" w:type="dxa"/>
            <w:noWrap w:val="0"/>
            <w:vAlign w:val="center"/>
          </w:tcPr>
          <w:p w14:paraId="1D78B72D">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lang w:eastAsia="zh-CN"/>
              </w:rPr>
              <w:t>地下室混凝土底板墙体抗渗性能现场测试</w:t>
            </w:r>
            <w:r>
              <w:rPr>
                <w:rFonts w:hint="eastAsia" w:ascii="仿宋" w:hAnsi="仿宋" w:eastAsia="仿宋" w:cs="仿宋"/>
                <w:b/>
                <w:bCs/>
                <w:sz w:val="24"/>
                <w:szCs w:val="24"/>
                <w:lang w:val="en-US" w:eastAsia="zh-CN"/>
              </w:rPr>
              <w:t>仪研发</w:t>
            </w:r>
          </w:p>
        </w:tc>
        <w:tc>
          <w:tcPr>
            <w:tcW w:w="5040" w:type="dxa"/>
            <w:noWrap w:val="0"/>
            <w:vAlign w:val="top"/>
          </w:tcPr>
          <w:p w14:paraId="54AC1FED">
            <w:pPr>
              <w:widowControl w:val="0"/>
              <w:jc w:val="left"/>
              <w:rPr>
                <w:rFonts w:hint="eastAsia" w:ascii="仿宋" w:hAnsi="仿宋" w:eastAsia="仿宋" w:cs="仿宋"/>
                <w:b/>
                <w:bCs/>
                <w:sz w:val="24"/>
                <w:szCs w:val="24"/>
                <w:vertAlign w:val="baseline"/>
                <w:lang w:val="en-US" w:eastAsia="zh-CN"/>
              </w:rPr>
            </w:pPr>
            <w:r>
              <w:rPr>
                <w:rFonts w:hint="eastAsia" w:ascii="仿宋" w:hAnsi="仿宋" w:eastAsia="仿宋" w:cs="仿宋"/>
                <w:b/>
                <w:bCs/>
                <w:color w:val="auto"/>
                <w:sz w:val="24"/>
                <w:szCs w:val="24"/>
                <w:lang w:eastAsia="zh-CN"/>
              </w:rPr>
              <w:t>目前检测混凝土抗渗性能采用的是制作抗渗试件进行实验室内试验，达标后才允许施工。但实际上现场浇筑的混凝土地下室底板或墙板受浇筑时间、环境的影响，其抗渗性能与抗渗试件的质量不一致，造成地下室底板或墙板渗漏，</w:t>
            </w:r>
            <w:r>
              <w:rPr>
                <w:rFonts w:hint="eastAsia" w:ascii="仿宋" w:hAnsi="仿宋" w:eastAsia="仿宋" w:cs="仿宋"/>
                <w:b/>
                <w:bCs/>
                <w:color w:val="auto"/>
                <w:sz w:val="24"/>
                <w:szCs w:val="24"/>
                <w:lang w:val="en-US" w:eastAsia="zh-CN"/>
              </w:rPr>
              <w:t>需要开发一种提供现场检测仪器</w:t>
            </w:r>
            <w:r>
              <w:rPr>
                <w:rFonts w:hint="eastAsia" w:ascii="仿宋" w:hAnsi="仿宋" w:eastAsia="仿宋" w:cs="仿宋"/>
                <w:b/>
                <w:bCs/>
                <w:color w:val="auto"/>
                <w:sz w:val="24"/>
                <w:szCs w:val="24"/>
                <w:lang w:eastAsia="zh-CN"/>
              </w:rPr>
              <w:t>。</w:t>
            </w:r>
          </w:p>
        </w:tc>
        <w:tc>
          <w:tcPr>
            <w:tcW w:w="1480" w:type="dxa"/>
            <w:vMerge w:val="restart"/>
            <w:noWrap w:val="0"/>
            <w:vAlign w:val="center"/>
          </w:tcPr>
          <w:p w14:paraId="6E40E70F">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lang w:eastAsia="zh-CN"/>
              </w:rPr>
              <w:t>淮安市建筑工程质量检测中心有限公司</w:t>
            </w:r>
          </w:p>
        </w:tc>
      </w:tr>
      <w:tr w14:paraId="41A79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63234687">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10</w:t>
            </w:r>
          </w:p>
        </w:tc>
        <w:tc>
          <w:tcPr>
            <w:tcW w:w="1620" w:type="dxa"/>
            <w:noWrap w:val="0"/>
            <w:vAlign w:val="center"/>
          </w:tcPr>
          <w:p w14:paraId="365591E7">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color w:val="auto"/>
                <w:sz w:val="24"/>
                <w:szCs w:val="24"/>
                <w:lang w:eastAsia="zh-CN"/>
              </w:rPr>
              <w:t>建筑外墙涂料施工层数</w:t>
            </w:r>
            <w:r>
              <w:rPr>
                <w:rFonts w:hint="eastAsia" w:ascii="仿宋" w:hAnsi="仿宋" w:eastAsia="仿宋" w:cs="仿宋"/>
                <w:b/>
                <w:bCs/>
                <w:color w:val="auto"/>
                <w:sz w:val="24"/>
                <w:szCs w:val="24"/>
                <w:lang w:val="en-US" w:eastAsia="zh-CN"/>
              </w:rPr>
              <w:t>及厚度测量仪研发</w:t>
            </w:r>
          </w:p>
        </w:tc>
        <w:tc>
          <w:tcPr>
            <w:tcW w:w="5040" w:type="dxa"/>
            <w:noWrap w:val="0"/>
            <w:vAlign w:val="top"/>
          </w:tcPr>
          <w:p w14:paraId="755ED973">
            <w:pPr>
              <w:widowControl w:val="0"/>
              <w:spacing w:after="120"/>
              <w:rPr>
                <w:rFonts w:hint="eastAsia" w:ascii="仿宋" w:hAnsi="仿宋" w:eastAsia="仿宋" w:cs="仿宋"/>
                <w:b/>
                <w:bCs/>
                <w:sz w:val="24"/>
                <w:szCs w:val="24"/>
                <w:vertAlign w:val="baseline"/>
                <w:lang w:val="en-US" w:eastAsia="zh-CN"/>
              </w:rPr>
            </w:pPr>
            <w:r>
              <w:rPr>
                <w:rFonts w:hint="eastAsia" w:ascii="仿宋" w:hAnsi="仿宋" w:eastAsia="仿宋" w:cs="仿宋"/>
                <w:b/>
                <w:bCs/>
                <w:color w:val="auto"/>
                <w:sz w:val="24"/>
                <w:szCs w:val="24"/>
                <w:lang w:eastAsia="zh-CN"/>
              </w:rPr>
              <w:t>目前房屋建筑外墙涂料施工主要采用聚合物乳液+外墙用腻子的施工方法，外墙涂料分为底漆、中涂漆和面漆三类。在已完成的外墙面上鉴别涂料的施工层数成为难点，每种漆施工几层往往肉眼无法辨别。需要</w:t>
            </w:r>
            <w:r>
              <w:rPr>
                <w:rFonts w:hint="eastAsia" w:ascii="仿宋" w:hAnsi="仿宋" w:eastAsia="仿宋" w:cs="仿宋"/>
                <w:b/>
                <w:bCs/>
                <w:color w:val="auto"/>
                <w:sz w:val="24"/>
                <w:szCs w:val="24"/>
                <w:lang w:val="en-US" w:eastAsia="zh-CN"/>
              </w:rPr>
              <w:t>研发一种</w:t>
            </w:r>
            <w:r>
              <w:rPr>
                <w:rFonts w:hint="eastAsia" w:ascii="仿宋" w:hAnsi="仿宋" w:eastAsia="仿宋" w:cs="仿宋"/>
                <w:b/>
                <w:bCs/>
                <w:color w:val="auto"/>
                <w:sz w:val="24"/>
                <w:szCs w:val="24"/>
                <w:lang w:eastAsia="zh-CN"/>
              </w:rPr>
              <w:t>设备能识别不同涂料到底施工了层</w:t>
            </w:r>
            <w:r>
              <w:rPr>
                <w:rFonts w:hint="eastAsia" w:ascii="仿宋" w:hAnsi="仿宋" w:eastAsia="仿宋" w:cs="仿宋"/>
                <w:b/>
                <w:bCs/>
                <w:color w:val="auto"/>
                <w:sz w:val="24"/>
                <w:szCs w:val="24"/>
                <w:lang w:val="en-US" w:eastAsia="zh-CN"/>
              </w:rPr>
              <w:t>数及</w:t>
            </w:r>
            <w:r>
              <w:rPr>
                <w:rFonts w:hint="eastAsia" w:ascii="仿宋" w:hAnsi="仿宋" w:eastAsia="仿宋" w:cs="仿宋"/>
                <w:b/>
                <w:bCs/>
                <w:color w:val="auto"/>
                <w:sz w:val="24"/>
                <w:szCs w:val="24"/>
                <w:lang w:eastAsia="zh-CN"/>
              </w:rPr>
              <w:t>每层厚度。</w:t>
            </w:r>
          </w:p>
        </w:tc>
        <w:tc>
          <w:tcPr>
            <w:tcW w:w="1480" w:type="dxa"/>
            <w:vMerge w:val="continue"/>
            <w:noWrap w:val="0"/>
            <w:vAlign w:val="center"/>
          </w:tcPr>
          <w:p w14:paraId="1CAFAA94">
            <w:pPr>
              <w:widowControl w:val="0"/>
              <w:jc w:val="center"/>
              <w:rPr>
                <w:rFonts w:hint="eastAsia" w:ascii="仿宋" w:hAnsi="仿宋" w:eastAsia="仿宋" w:cs="仿宋"/>
                <w:b/>
                <w:bCs/>
                <w:sz w:val="24"/>
                <w:szCs w:val="24"/>
                <w:vertAlign w:val="baseline"/>
                <w:lang w:val="en-US" w:eastAsia="zh-CN"/>
              </w:rPr>
            </w:pPr>
          </w:p>
        </w:tc>
      </w:tr>
      <w:tr w14:paraId="79990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03AA447F">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11</w:t>
            </w:r>
          </w:p>
        </w:tc>
        <w:tc>
          <w:tcPr>
            <w:tcW w:w="1620" w:type="dxa"/>
            <w:noWrap w:val="0"/>
            <w:vAlign w:val="center"/>
          </w:tcPr>
          <w:p w14:paraId="7B9D2193">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napToGrid w:val="0"/>
                <w:color w:val="auto"/>
                <w:kern w:val="0"/>
                <w:sz w:val="24"/>
                <w:szCs w:val="24"/>
                <w:highlight w:val="none"/>
                <w:lang w:val="en-US" w:eastAsia="zh-CN" w:bidi="ar-SA"/>
              </w:rPr>
              <w:t>再生聚酯切片技术改造项目-</w:t>
            </w:r>
            <w:r>
              <w:rPr>
                <w:rFonts w:hint="eastAsia" w:ascii="仿宋" w:hAnsi="仿宋" w:eastAsia="仿宋" w:cs="仿宋"/>
                <w:b/>
                <w:bCs/>
                <w:kern w:val="0"/>
                <w:sz w:val="24"/>
                <w:szCs w:val="24"/>
                <w:lang w:val="en-US" w:eastAsia="zh-CN" w:bidi="ar-SA"/>
              </w:rPr>
              <w:t>智能分选去除BPA</w:t>
            </w:r>
          </w:p>
        </w:tc>
        <w:tc>
          <w:tcPr>
            <w:tcW w:w="5040" w:type="dxa"/>
            <w:noWrap w:val="0"/>
            <w:vAlign w:val="top"/>
          </w:tcPr>
          <w:p w14:paraId="27978A5E">
            <w:pPr>
              <w:widowControl w:val="0"/>
              <w:jc w:val="left"/>
              <w:rPr>
                <w:rFonts w:hint="eastAsia" w:ascii="仿宋" w:hAnsi="仿宋" w:eastAsia="仿宋" w:cs="仿宋"/>
                <w:b/>
                <w:bCs/>
                <w:sz w:val="24"/>
                <w:szCs w:val="24"/>
                <w:vertAlign w:val="baseline"/>
                <w:lang w:val="en-US" w:eastAsia="zh-CN"/>
              </w:rPr>
            </w:pPr>
            <w:r>
              <w:rPr>
                <w:rFonts w:hint="eastAsia" w:ascii="仿宋" w:hAnsi="仿宋" w:eastAsia="仿宋" w:cs="仿宋"/>
                <w:b/>
                <w:bCs/>
                <w:snapToGrid w:val="0"/>
                <w:color w:val="auto"/>
                <w:kern w:val="0"/>
                <w:sz w:val="24"/>
                <w:szCs w:val="24"/>
                <w:highlight w:val="none"/>
                <w:lang w:val="en-US" w:eastAsia="zh-CN" w:bidi="ar-SA"/>
              </w:rPr>
              <w:t>每小时处理能力达3吨，可满足大规模连续化生产需求。在去除效果上，能将再生聚酯切片中的BPA含量降至0.5ppm以下，远优于行业标准和客户要求。</w:t>
            </w:r>
          </w:p>
        </w:tc>
        <w:tc>
          <w:tcPr>
            <w:tcW w:w="1480" w:type="dxa"/>
            <w:vMerge w:val="restart"/>
            <w:noWrap w:val="0"/>
            <w:vAlign w:val="center"/>
          </w:tcPr>
          <w:p w14:paraId="7D895F0A">
            <w:pPr>
              <w:widowControl w:val="0"/>
              <w:jc w:val="center"/>
              <w:rPr>
                <w:rFonts w:hint="eastAsia" w:ascii="仿宋" w:hAnsi="仿宋" w:eastAsia="仿宋" w:cs="仿宋"/>
                <w:b/>
                <w:bCs/>
                <w:sz w:val="24"/>
                <w:szCs w:val="24"/>
                <w:vertAlign w:val="baseline"/>
                <w:lang w:val="en-US" w:eastAsia="zh-CN"/>
              </w:rPr>
            </w:pPr>
            <w:r>
              <w:rPr>
                <w:rFonts w:hint="eastAsia" w:ascii="Times New Roman" w:hAnsi="Times New Roman" w:eastAsia="仿宋"/>
                <w:b/>
                <w:bCs/>
                <w:sz w:val="24"/>
                <w:szCs w:val="24"/>
                <w:lang w:eastAsia="zh-CN"/>
              </w:rPr>
              <w:t>江苏佩浦高分子科技有限公司</w:t>
            </w:r>
          </w:p>
        </w:tc>
      </w:tr>
      <w:tr w14:paraId="5C257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17426256">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12</w:t>
            </w:r>
          </w:p>
        </w:tc>
        <w:tc>
          <w:tcPr>
            <w:tcW w:w="1620" w:type="dxa"/>
            <w:noWrap w:val="0"/>
            <w:vAlign w:val="center"/>
          </w:tcPr>
          <w:p w14:paraId="584D7E84">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napToGrid w:val="0"/>
                <w:color w:val="auto"/>
                <w:kern w:val="0"/>
                <w:sz w:val="24"/>
                <w:szCs w:val="24"/>
                <w:highlight w:val="none"/>
                <w:lang w:val="en-US" w:eastAsia="zh-CN" w:bidi="ar-SA"/>
              </w:rPr>
              <w:t>再生聚酯切片技术改造项目-</w:t>
            </w:r>
            <w:r>
              <w:rPr>
                <w:rFonts w:hint="eastAsia" w:ascii="仿宋" w:hAnsi="仿宋" w:eastAsia="仿宋" w:cs="仿宋"/>
                <w:b/>
                <w:bCs/>
                <w:sz w:val="24"/>
                <w:szCs w:val="24"/>
                <w:lang w:val="en-US" w:eastAsia="zh-CN"/>
              </w:rPr>
              <w:t>去除粉末</w:t>
            </w:r>
          </w:p>
        </w:tc>
        <w:tc>
          <w:tcPr>
            <w:tcW w:w="5040" w:type="dxa"/>
            <w:noWrap w:val="0"/>
            <w:vAlign w:val="top"/>
          </w:tcPr>
          <w:p w14:paraId="673822CE">
            <w:pPr>
              <w:pStyle w:val="2"/>
              <w:keepNext w:val="0"/>
              <w:keepLines w:val="0"/>
              <w:pageBreakBefore w:val="0"/>
              <w:widowControl/>
              <w:kinsoku/>
              <w:wordWrap/>
              <w:overflowPunct/>
              <w:topLinePunct w:val="0"/>
              <w:autoSpaceDE/>
              <w:autoSpaceDN/>
              <w:bidi w:val="0"/>
              <w:adjustRightInd w:val="0"/>
              <w:snapToGrid w:val="0"/>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napToGrid w:val="0"/>
                <w:color w:val="auto"/>
                <w:kern w:val="0"/>
                <w:sz w:val="24"/>
                <w:szCs w:val="24"/>
                <w:highlight w:val="none"/>
                <w:lang w:val="en-US" w:eastAsia="zh-CN" w:bidi="ar-SA"/>
              </w:rPr>
              <w:t>粉末残留含量控制在50mg/kg以下，大幅提升原料纯净度；有效改善切片的可纺性能，使纺丝断头率下降10%，纤维断裂强度提高至2.59 cN/dtex以上，线密度变异系数稳定在0.89%以内，各项指标均优于FZ/T 54046-2020标准要求。</w:t>
            </w:r>
          </w:p>
        </w:tc>
        <w:tc>
          <w:tcPr>
            <w:tcW w:w="1480" w:type="dxa"/>
            <w:vMerge w:val="continue"/>
            <w:noWrap w:val="0"/>
            <w:vAlign w:val="center"/>
          </w:tcPr>
          <w:p w14:paraId="1534D1DF">
            <w:pPr>
              <w:widowControl w:val="0"/>
              <w:jc w:val="center"/>
              <w:rPr>
                <w:rFonts w:hint="eastAsia" w:ascii="仿宋" w:hAnsi="仿宋" w:eastAsia="仿宋" w:cs="仿宋"/>
                <w:b/>
                <w:bCs/>
                <w:sz w:val="24"/>
                <w:szCs w:val="24"/>
                <w:vertAlign w:val="baseline"/>
                <w:lang w:val="en-US" w:eastAsia="zh-CN"/>
              </w:rPr>
            </w:pPr>
          </w:p>
        </w:tc>
      </w:tr>
      <w:tr w14:paraId="464BD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trPr>
        <w:tc>
          <w:tcPr>
            <w:tcW w:w="776" w:type="dxa"/>
            <w:noWrap w:val="0"/>
            <w:vAlign w:val="center"/>
          </w:tcPr>
          <w:p w14:paraId="65C4013C">
            <w:pPr>
              <w:widowControl w:val="0"/>
              <w:spacing w:line="24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13</w:t>
            </w:r>
          </w:p>
        </w:tc>
        <w:tc>
          <w:tcPr>
            <w:tcW w:w="1620" w:type="dxa"/>
            <w:noWrap w:val="0"/>
            <w:vAlign w:val="center"/>
          </w:tcPr>
          <w:p w14:paraId="0A4A0B97">
            <w:pPr>
              <w:widowControl w:val="0"/>
              <w:spacing w:line="240" w:lineRule="auto"/>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rPr>
              <w:t>拉弧</w:t>
            </w:r>
            <w:r>
              <w:rPr>
                <w:rFonts w:hint="eastAsia" w:ascii="仿宋" w:hAnsi="仿宋" w:eastAsia="仿宋" w:cs="仿宋"/>
                <w:b/>
                <w:bCs/>
                <w:sz w:val="24"/>
                <w:szCs w:val="24"/>
                <w:lang w:val="en-US" w:eastAsia="zh-CN"/>
              </w:rPr>
              <w:t>智能</w:t>
            </w:r>
            <w:r>
              <w:rPr>
                <w:rFonts w:hint="eastAsia" w:ascii="仿宋" w:hAnsi="仿宋" w:eastAsia="仿宋" w:cs="仿宋"/>
                <w:b/>
                <w:bCs/>
                <w:sz w:val="24"/>
                <w:szCs w:val="24"/>
              </w:rPr>
              <w:t>电流传感器</w:t>
            </w:r>
          </w:p>
        </w:tc>
        <w:tc>
          <w:tcPr>
            <w:tcW w:w="5040" w:type="dxa"/>
            <w:noWrap w:val="0"/>
            <w:vAlign w:val="top"/>
          </w:tcPr>
          <w:p w14:paraId="03695248">
            <w:pPr>
              <w:widowControl w:val="0"/>
              <w:adjustRightInd w:val="0"/>
              <w:spacing w:line="240" w:lineRule="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rPr>
              <w:t>适配光伏/储能/充电桩直流系统</w:t>
            </w:r>
            <w:r>
              <w:rPr>
                <w:rFonts w:hint="eastAsia" w:ascii="仿宋" w:hAnsi="仿宋" w:eastAsia="仿宋" w:cs="仿宋"/>
                <w:b/>
                <w:bCs/>
                <w:sz w:val="24"/>
                <w:szCs w:val="24"/>
                <w:lang w:eastAsia="zh-CN"/>
              </w:rPr>
              <w:t>。</w:t>
            </w:r>
            <w:r>
              <w:rPr>
                <w:rFonts w:hint="eastAsia" w:ascii="仿宋" w:hAnsi="仿宋" w:eastAsia="仿宋" w:cs="仿宋"/>
                <w:b/>
                <w:bCs/>
                <w:sz w:val="24"/>
                <w:szCs w:val="24"/>
              </w:rPr>
              <w:t>突破高频宽带宽磁芯开发，解决拉弧信号捕捉难问题</w:t>
            </w:r>
            <w:r>
              <w:rPr>
                <w:rFonts w:hint="eastAsia" w:ascii="仿宋" w:hAnsi="仿宋" w:eastAsia="仿宋" w:cs="仿宋"/>
                <w:b/>
                <w:bCs/>
                <w:sz w:val="24"/>
                <w:szCs w:val="24"/>
                <w:lang w:eastAsia="zh-CN"/>
              </w:rPr>
              <w:t>，</w:t>
            </w:r>
            <w:r>
              <w:rPr>
                <w:rFonts w:hint="eastAsia" w:ascii="仿宋" w:hAnsi="仿宋" w:eastAsia="仿宋" w:cs="仿宋"/>
                <w:b/>
                <w:bCs/>
                <w:sz w:val="24"/>
                <w:szCs w:val="24"/>
              </w:rPr>
              <w:t>适配不同场景（600V 光伏汇流箱、1500V 储能、750V 充电桩）</w:t>
            </w:r>
            <w:r>
              <w:rPr>
                <w:rFonts w:hint="eastAsia" w:ascii="仿宋" w:hAnsi="仿宋" w:eastAsia="仿宋" w:cs="仿宋"/>
                <w:b/>
                <w:bCs/>
                <w:sz w:val="24"/>
                <w:szCs w:val="24"/>
                <w:lang w:eastAsia="zh-CN"/>
              </w:rPr>
              <w:t>，</w:t>
            </w:r>
            <w:r>
              <w:rPr>
                <w:rFonts w:hint="eastAsia" w:ascii="仿宋" w:hAnsi="仿宋" w:eastAsia="仿宋" w:cs="仿宋"/>
                <w:b/>
                <w:bCs/>
                <w:sz w:val="24"/>
                <w:szCs w:val="24"/>
              </w:rPr>
              <w:t>构建全工况验证平台，</w:t>
            </w:r>
            <w:r>
              <w:rPr>
                <w:rFonts w:hint="eastAsia" w:ascii="仿宋" w:hAnsi="仿宋" w:eastAsia="仿宋" w:cs="仿宋"/>
                <w:b/>
                <w:bCs/>
                <w:sz w:val="24"/>
                <w:szCs w:val="24"/>
                <w:lang w:val="en-US" w:eastAsia="zh-CN"/>
              </w:rPr>
              <w:t>实现</w:t>
            </w:r>
            <w:r>
              <w:rPr>
                <w:rFonts w:hint="eastAsia" w:ascii="仿宋" w:hAnsi="仿宋" w:eastAsia="仿宋" w:cs="仿宋"/>
                <w:b/>
                <w:bCs/>
                <w:sz w:val="24"/>
                <w:szCs w:val="24"/>
              </w:rPr>
              <w:t>技术产业化。申请专利</w:t>
            </w: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 xml:space="preserve"> 项</w:t>
            </w:r>
            <w:r>
              <w:rPr>
                <w:rFonts w:hint="eastAsia" w:ascii="仿宋" w:hAnsi="仿宋" w:eastAsia="仿宋" w:cs="仿宋"/>
                <w:b/>
                <w:bCs/>
                <w:sz w:val="24"/>
                <w:szCs w:val="24"/>
                <w:lang w:val="en-US" w:eastAsia="zh-CN"/>
              </w:rPr>
              <w:t>，制定企业标准1项。</w:t>
            </w:r>
          </w:p>
        </w:tc>
        <w:tc>
          <w:tcPr>
            <w:tcW w:w="1480" w:type="dxa"/>
            <w:vMerge w:val="restart"/>
            <w:noWrap w:val="0"/>
            <w:vAlign w:val="center"/>
          </w:tcPr>
          <w:p w14:paraId="0E8CD051">
            <w:pPr>
              <w:widowControl w:val="0"/>
              <w:spacing w:line="24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江苏华尔信电器有限公司</w:t>
            </w:r>
          </w:p>
        </w:tc>
      </w:tr>
      <w:tr w14:paraId="00413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6" w:hRule="atLeast"/>
        </w:trPr>
        <w:tc>
          <w:tcPr>
            <w:tcW w:w="776" w:type="dxa"/>
            <w:noWrap w:val="0"/>
            <w:vAlign w:val="center"/>
          </w:tcPr>
          <w:p w14:paraId="5D165895">
            <w:pPr>
              <w:widowControl w:val="0"/>
              <w:spacing w:line="24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14</w:t>
            </w:r>
          </w:p>
        </w:tc>
        <w:tc>
          <w:tcPr>
            <w:tcW w:w="1620" w:type="dxa"/>
            <w:noWrap w:val="0"/>
            <w:vAlign w:val="center"/>
          </w:tcPr>
          <w:p w14:paraId="324BDFA5">
            <w:pPr>
              <w:widowControl w:val="0"/>
              <w:spacing w:line="240" w:lineRule="auto"/>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lang w:val="en-US" w:eastAsia="zh-CN"/>
              </w:rPr>
              <w:t>智能</w:t>
            </w:r>
            <w:r>
              <w:rPr>
                <w:rFonts w:hint="eastAsia" w:ascii="仿宋" w:hAnsi="仿宋" w:eastAsia="仿宋" w:cs="仿宋"/>
                <w:b/>
                <w:bCs/>
                <w:sz w:val="24"/>
                <w:szCs w:val="24"/>
              </w:rPr>
              <w:t>漏电流传感器</w:t>
            </w:r>
          </w:p>
        </w:tc>
        <w:tc>
          <w:tcPr>
            <w:tcW w:w="5040" w:type="dxa"/>
            <w:noWrap w:val="0"/>
            <w:vAlign w:val="top"/>
          </w:tcPr>
          <w:p w14:paraId="344DAE60">
            <w:pPr>
              <w:widowControl w:val="0"/>
              <w:adjustRightInd w:val="0"/>
              <w:spacing w:line="240" w:lineRule="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rPr>
              <w:t>适配直流系统安全防护</w:t>
            </w:r>
            <w:r>
              <w:rPr>
                <w:rFonts w:hint="eastAsia" w:ascii="仿宋" w:hAnsi="仿宋" w:eastAsia="仿宋" w:cs="仿宋"/>
                <w:b/>
                <w:bCs/>
                <w:sz w:val="24"/>
                <w:szCs w:val="24"/>
                <w:lang w:eastAsia="zh-CN"/>
              </w:rPr>
              <w:t>。</w:t>
            </w:r>
            <w:r>
              <w:rPr>
                <w:rFonts w:hint="eastAsia" w:ascii="仿宋" w:hAnsi="仿宋" w:eastAsia="仿宋" w:cs="仿宋"/>
                <w:b/>
                <w:bCs/>
                <w:sz w:val="24"/>
                <w:szCs w:val="24"/>
              </w:rPr>
              <w:t>研发低功耗高精度敏感元件，解决mA级漏电流检测精度问题</w:t>
            </w:r>
            <w:r>
              <w:rPr>
                <w:rFonts w:hint="eastAsia" w:ascii="仿宋" w:hAnsi="仿宋" w:eastAsia="仿宋" w:cs="仿宋"/>
                <w:b/>
                <w:bCs/>
                <w:sz w:val="24"/>
                <w:szCs w:val="24"/>
                <w:lang w:eastAsia="zh-CN"/>
              </w:rPr>
              <w:t>，</w:t>
            </w:r>
            <w:r>
              <w:rPr>
                <w:rFonts w:hint="eastAsia" w:ascii="仿宋" w:hAnsi="仿宋" w:eastAsia="仿宋" w:cs="仿宋"/>
                <w:b/>
                <w:bCs/>
                <w:sz w:val="24"/>
                <w:szCs w:val="24"/>
              </w:rPr>
              <w:t>优化抗干扰设计（电磁屏蔽、差分电路）与宽温适配，适配户外/高压场景；开发多场景（储能电池簇、充电桩直流侧、光伏逆变器）漏电流检测方案；推动技术落地</w:t>
            </w:r>
            <w:r>
              <w:rPr>
                <w:rFonts w:hint="eastAsia" w:ascii="仿宋" w:hAnsi="仿宋" w:eastAsia="仿宋" w:cs="仿宋"/>
                <w:b/>
                <w:bCs/>
                <w:sz w:val="24"/>
                <w:szCs w:val="24"/>
                <w:lang w:val="en-US" w:eastAsia="zh-CN"/>
              </w:rPr>
              <w:t>与产业化。</w:t>
            </w:r>
            <w:r>
              <w:rPr>
                <w:rFonts w:hint="eastAsia" w:ascii="仿宋" w:hAnsi="仿宋" w:eastAsia="仿宋" w:cs="仿宋"/>
                <w:b/>
                <w:bCs/>
                <w:sz w:val="24"/>
                <w:szCs w:val="24"/>
              </w:rPr>
              <w:t>申请专利</w:t>
            </w: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 xml:space="preserve"> 项</w:t>
            </w:r>
            <w:r>
              <w:rPr>
                <w:rFonts w:hint="eastAsia" w:ascii="仿宋" w:hAnsi="仿宋" w:eastAsia="仿宋" w:cs="仿宋"/>
                <w:b/>
                <w:bCs/>
                <w:sz w:val="24"/>
                <w:szCs w:val="24"/>
                <w:lang w:val="en-US" w:eastAsia="zh-CN"/>
              </w:rPr>
              <w:t>，制定企业标准1项。</w:t>
            </w:r>
          </w:p>
        </w:tc>
        <w:tc>
          <w:tcPr>
            <w:tcW w:w="1480" w:type="dxa"/>
            <w:vMerge w:val="continue"/>
            <w:noWrap w:val="0"/>
            <w:vAlign w:val="center"/>
          </w:tcPr>
          <w:p w14:paraId="4900BB3F">
            <w:pPr>
              <w:widowControl w:val="0"/>
              <w:spacing w:line="240" w:lineRule="auto"/>
              <w:jc w:val="center"/>
              <w:rPr>
                <w:rFonts w:hint="eastAsia" w:ascii="仿宋" w:hAnsi="仿宋" w:eastAsia="仿宋" w:cs="仿宋"/>
                <w:b/>
                <w:bCs/>
                <w:sz w:val="24"/>
                <w:szCs w:val="24"/>
                <w:vertAlign w:val="baseline"/>
                <w:lang w:val="en-US" w:eastAsia="zh-CN"/>
              </w:rPr>
            </w:pPr>
          </w:p>
        </w:tc>
      </w:tr>
      <w:tr w14:paraId="00D6D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2B648EB9">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15</w:t>
            </w:r>
          </w:p>
        </w:tc>
        <w:tc>
          <w:tcPr>
            <w:tcW w:w="1620" w:type="dxa"/>
            <w:noWrap w:val="0"/>
            <w:vAlign w:val="center"/>
          </w:tcPr>
          <w:p w14:paraId="008532A9">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lang w:val="en-US" w:eastAsia="zh-CN"/>
              </w:rPr>
              <w:t>U型</w:t>
            </w:r>
            <w:r>
              <w:rPr>
                <w:rFonts w:hint="eastAsia" w:ascii="仿宋" w:hAnsi="仿宋" w:eastAsia="仿宋" w:cs="仿宋"/>
                <w:b/>
                <w:bCs/>
                <w:sz w:val="24"/>
                <w:szCs w:val="24"/>
                <w:lang w:eastAsia="zh-CN"/>
              </w:rPr>
              <w:t>科氏力质量流量计</w:t>
            </w:r>
            <w:r>
              <w:rPr>
                <w:rFonts w:hint="eastAsia" w:ascii="仿宋" w:hAnsi="仿宋" w:eastAsia="仿宋" w:cs="仿宋"/>
                <w:b/>
                <w:bCs/>
                <w:sz w:val="24"/>
                <w:szCs w:val="24"/>
                <w:lang w:val="en-US" w:eastAsia="zh-CN"/>
              </w:rPr>
              <w:t>研发及产业化</w:t>
            </w:r>
          </w:p>
        </w:tc>
        <w:tc>
          <w:tcPr>
            <w:tcW w:w="5040" w:type="dxa"/>
            <w:noWrap w:val="0"/>
            <w:vAlign w:val="top"/>
          </w:tcPr>
          <w:p w14:paraId="0B265718">
            <w:pPr>
              <w:pStyle w:val="2"/>
              <w:widowControl w:val="0"/>
              <w:rPr>
                <w:rFonts w:hint="eastAsia" w:ascii="仿宋" w:hAnsi="仿宋" w:eastAsia="仿宋" w:cs="仿宋"/>
                <w:b/>
                <w:bCs/>
                <w:sz w:val="24"/>
                <w:szCs w:val="24"/>
                <w:vertAlign w:val="baseline"/>
                <w:lang w:val="en-US" w:eastAsia="zh-CN"/>
              </w:rPr>
            </w:pPr>
            <w:r>
              <w:rPr>
                <w:rFonts w:hint="eastAsia" w:ascii="Times New Roman" w:hAnsi="Times New Roman" w:eastAsia="仿宋"/>
                <w:b/>
                <w:bCs/>
                <w:sz w:val="24"/>
                <w:szCs w:val="24"/>
                <w:lang w:eastAsia="zh-CN"/>
              </w:rPr>
              <w:t>现有电磁流量计，涡街流量计等设计生产技术，</w:t>
            </w:r>
            <w:r>
              <w:rPr>
                <w:rFonts w:hint="eastAsia" w:ascii="Times New Roman" w:hAnsi="Times New Roman" w:eastAsia="仿宋"/>
                <w:b/>
                <w:bCs/>
                <w:sz w:val="24"/>
                <w:szCs w:val="24"/>
                <w:lang w:val="en-US" w:eastAsia="zh-CN"/>
              </w:rPr>
              <w:t>具有</w:t>
            </w:r>
            <w:r>
              <w:rPr>
                <w:rFonts w:hint="eastAsia" w:ascii="Times New Roman" w:hAnsi="Times New Roman" w:eastAsia="仿宋"/>
                <w:b/>
                <w:bCs/>
                <w:sz w:val="24"/>
                <w:szCs w:val="24"/>
                <w:lang w:eastAsia="zh-CN"/>
              </w:rPr>
              <w:t>质量流量计传感器生产</w:t>
            </w:r>
            <w:r>
              <w:rPr>
                <w:rFonts w:hint="eastAsia" w:ascii="Times New Roman" w:hAnsi="Times New Roman" w:eastAsia="仿宋"/>
                <w:b/>
                <w:bCs/>
                <w:sz w:val="24"/>
                <w:szCs w:val="24"/>
                <w:lang w:val="en-US" w:eastAsia="zh-CN"/>
              </w:rPr>
              <w:t>能力</w:t>
            </w:r>
            <w:r>
              <w:rPr>
                <w:rFonts w:hint="eastAsia" w:ascii="Times New Roman" w:hAnsi="Times New Roman"/>
                <w:b/>
                <w:bCs/>
                <w:sz w:val="24"/>
                <w:szCs w:val="24"/>
                <w:lang w:val="en-US" w:eastAsia="zh-CN"/>
              </w:rPr>
              <w:t>；</w:t>
            </w:r>
            <w:r>
              <w:rPr>
                <w:rFonts w:hint="eastAsia"/>
                <w:b/>
                <w:bCs/>
                <w:color w:val="auto"/>
                <w:sz w:val="24"/>
                <w:szCs w:val="24"/>
                <w:lang w:val="en-US" w:eastAsia="zh-CN"/>
              </w:rPr>
              <w:t>合作开发U型</w:t>
            </w:r>
            <w:r>
              <w:rPr>
                <w:rFonts w:hint="eastAsia" w:ascii="Times New Roman" w:hAnsi="Times New Roman"/>
                <w:b/>
                <w:bCs/>
                <w:sz w:val="24"/>
                <w:szCs w:val="24"/>
                <w:lang w:eastAsia="zh-CN"/>
              </w:rPr>
              <w:t>科氏力</w:t>
            </w:r>
            <w:r>
              <w:rPr>
                <w:rFonts w:hint="eastAsia"/>
                <w:b/>
                <w:bCs/>
                <w:color w:val="auto"/>
                <w:sz w:val="24"/>
                <w:szCs w:val="24"/>
                <w:lang w:val="en-US" w:eastAsia="zh-CN"/>
              </w:rPr>
              <w:t>质量流量计测量、控制和显示电路及系统软件，测量精度高于0.2级。</w:t>
            </w:r>
          </w:p>
        </w:tc>
        <w:tc>
          <w:tcPr>
            <w:tcW w:w="1480" w:type="dxa"/>
            <w:noWrap w:val="0"/>
            <w:vAlign w:val="center"/>
          </w:tcPr>
          <w:p w14:paraId="7F64AF90">
            <w:pPr>
              <w:widowControl w:val="0"/>
              <w:jc w:val="center"/>
              <w:rPr>
                <w:rFonts w:hint="eastAsia" w:ascii="仿宋" w:hAnsi="仿宋" w:eastAsia="仿宋" w:cs="仿宋"/>
                <w:b/>
                <w:bCs/>
                <w:sz w:val="24"/>
                <w:szCs w:val="24"/>
                <w:vertAlign w:val="baseline"/>
                <w:lang w:val="en-US" w:eastAsia="zh-CN"/>
              </w:rPr>
            </w:pPr>
            <w:bookmarkStart w:id="0" w:name="OLE_LINK5"/>
            <w:bookmarkStart w:id="1" w:name="OLE_LINK6"/>
            <w:r>
              <w:rPr>
                <w:rFonts w:hint="eastAsia" w:ascii="Times New Roman" w:hAnsi="Times New Roman" w:eastAsia="仿宋"/>
                <w:b/>
                <w:bCs/>
                <w:sz w:val="24"/>
                <w:szCs w:val="24"/>
                <w:lang w:eastAsia="zh-CN"/>
              </w:rPr>
              <w:t>江苏横河集团有限公司</w:t>
            </w:r>
            <w:bookmarkEnd w:id="0"/>
            <w:bookmarkEnd w:id="1"/>
          </w:p>
        </w:tc>
      </w:tr>
      <w:tr w14:paraId="5DDFF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2" w:hRule="atLeast"/>
        </w:trPr>
        <w:tc>
          <w:tcPr>
            <w:tcW w:w="776" w:type="dxa"/>
            <w:noWrap w:val="0"/>
            <w:vAlign w:val="center"/>
          </w:tcPr>
          <w:p w14:paraId="22D7143A">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15</w:t>
            </w:r>
          </w:p>
        </w:tc>
        <w:tc>
          <w:tcPr>
            <w:tcW w:w="1620" w:type="dxa"/>
            <w:noWrap w:val="0"/>
            <w:vAlign w:val="center"/>
          </w:tcPr>
          <w:p w14:paraId="53B4A687">
            <w:pPr>
              <w:widowControl w:val="0"/>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lang w:eastAsia="zh-CN"/>
              </w:rPr>
              <w:t>施工单位多维安全监管平台</w:t>
            </w:r>
          </w:p>
        </w:tc>
        <w:tc>
          <w:tcPr>
            <w:tcW w:w="5040" w:type="dxa"/>
            <w:noWrap w:val="0"/>
            <w:vAlign w:val="top"/>
          </w:tcPr>
          <w:p w14:paraId="45B2A637">
            <w:pPr>
              <w:widowControl w:val="0"/>
              <w:kinsoku/>
              <w:spacing w:line="240" w:lineRule="auto"/>
              <w:jc w:val="both"/>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lang w:eastAsia="zh-CN"/>
              </w:rPr>
              <w:t>文档管理</w:t>
            </w:r>
            <w:r>
              <w:rPr>
                <w:rFonts w:hint="eastAsia" w:ascii="仿宋" w:hAnsi="仿宋" w:eastAsia="仿宋" w:cs="仿宋"/>
                <w:b/>
                <w:bCs/>
                <w:sz w:val="24"/>
                <w:szCs w:val="24"/>
                <w:lang w:val="en-US" w:eastAsia="zh-CN"/>
              </w:rPr>
              <w:t>功能，</w:t>
            </w:r>
            <w:r>
              <w:rPr>
                <w:rFonts w:hint="eastAsia" w:ascii="仿宋" w:hAnsi="仿宋" w:eastAsia="仿宋" w:cs="仿宋"/>
                <w:b/>
                <w:bCs/>
                <w:sz w:val="24"/>
                <w:szCs w:val="24"/>
                <w:lang w:eastAsia="zh-CN"/>
              </w:rPr>
              <w:t>构建标准化安全文档体系；人员管理，精准管控关键岗位人员资质；特种设备管理，实现“一机一档”全周期管控；施工现场监控，全场景感知与智能预警；大屏实时监测：安全数据可视化中枢。</w:t>
            </w:r>
            <w:r>
              <w:rPr>
                <w:rFonts w:hint="eastAsia" w:ascii="仿宋" w:hAnsi="仿宋" w:eastAsia="仿宋" w:cs="仿宋"/>
                <w:b/>
                <w:bCs/>
                <w:sz w:val="24"/>
                <w:szCs w:val="24"/>
                <w:lang w:val="en-US" w:eastAsia="zh-CN"/>
              </w:rPr>
              <w:t>申请专利1项、软著1项，样机一套，系统软件1套。</w:t>
            </w:r>
          </w:p>
        </w:tc>
        <w:tc>
          <w:tcPr>
            <w:tcW w:w="1480" w:type="dxa"/>
            <w:noWrap w:val="0"/>
            <w:vAlign w:val="center"/>
          </w:tcPr>
          <w:p w14:paraId="4FEAAA32">
            <w:pPr>
              <w:widowControl w:val="0"/>
              <w:jc w:val="center"/>
              <w:rPr>
                <w:rFonts w:hint="eastAsia" w:ascii="仿宋" w:hAnsi="仿宋" w:eastAsia="仿宋" w:cs="仿宋"/>
                <w:b/>
                <w:bCs/>
                <w:sz w:val="24"/>
                <w:szCs w:val="24"/>
                <w:vertAlign w:val="baseline"/>
                <w:lang w:val="en-US" w:eastAsia="zh-CN"/>
              </w:rPr>
            </w:pPr>
            <w:r>
              <w:rPr>
                <w:rFonts w:hint="eastAsia" w:ascii="Times New Roman" w:hAnsi="Times New Roman" w:eastAsia="仿宋"/>
                <w:b/>
                <w:bCs/>
                <w:sz w:val="24"/>
                <w:szCs w:val="24"/>
                <w:lang w:eastAsia="zh-CN"/>
              </w:rPr>
              <w:t>江苏博崴特电子科技有限责任公司</w:t>
            </w:r>
          </w:p>
        </w:tc>
      </w:tr>
      <w:tr w14:paraId="43522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9" w:hRule="atLeast"/>
        </w:trPr>
        <w:tc>
          <w:tcPr>
            <w:tcW w:w="776" w:type="dxa"/>
            <w:noWrap w:val="0"/>
            <w:vAlign w:val="center"/>
          </w:tcPr>
          <w:p w14:paraId="3597F85E">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16</w:t>
            </w:r>
          </w:p>
        </w:tc>
        <w:tc>
          <w:tcPr>
            <w:tcW w:w="1620" w:type="dxa"/>
            <w:noWrap w:val="0"/>
            <w:vAlign w:val="center"/>
          </w:tcPr>
          <w:p w14:paraId="62425C95">
            <w:pPr>
              <w:keepNext w:val="0"/>
              <w:keepLines w:val="0"/>
              <w:pageBreakBefore w:val="0"/>
              <w:widowControl w:val="0"/>
              <w:kinsoku/>
              <w:overflowPunct/>
              <w:topLinePunct w:val="0"/>
              <w:autoSpaceDE/>
              <w:autoSpaceDN/>
              <w:bidi w:val="0"/>
              <w:adjustRightInd w:val="0"/>
              <w:snapToGrid w:val="0"/>
              <w:jc w:val="center"/>
              <w:textAlignment w:val="auto"/>
              <w:rPr>
                <w:rFonts w:hint="eastAsia" w:ascii="仿宋" w:hAnsi="仿宋" w:eastAsia="仿宋" w:cs="仿宋"/>
                <w:b/>
                <w:bCs/>
                <w:sz w:val="24"/>
                <w:szCs w:val="24"/>
                <w:vertAlign w:val="baseline"/>
                <w:lang w:val="en-US" w:eastAsia="zh-CN"/>
              </w:rPr>
            </w:pPr>
            <w:r>
              <w:rPr>
                <w:rStyle w:val="10"/>
                <w:rFonts w:hint="eastAsia" w:ascii="仿宋" w:hAnsi="仿宋" w:eastAsia="仿宋" w:cs="仿宋"/>
                <w:b/>
                <w:bCs/>
                <w:i w:val="0"/>
                <w:iCs w:val="0"/>
                <w:caps w:val="0"/>
                <w:spacing w:val="0"/>
                <w:sz w:val="24"/>
                <w:szCs w:val="24"/>
                <w:shd w:val="clear" w:color="auto" w:fill="FFFFFF"/>
              </w:rPr>
              <w:t>高精度智能温度传感器国产化研发</w:t>
            </w:r>
          </w:p>
        </w:tc>
        <w:tc>
          <w:tcPr>
            <w:tcW w:w="5040" w:type="dxa"/>
            <w:noWrap w:val="0"/>
            <w:vAlign w:val="top"/>
          </w:tcPr>
          <w:p w14:paraId="7BAAD72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val="0"/>
              <w:snapToGrid w:val="0"/>
              <w:spacing w:before="0" w:beforeAutospacing="0" w:after="0" w:afterAutospacing="0"/>
              <w:ind w:left="0" w:right="0" w:firstLine="0"/>
              <w:jc w:val="left"/>
              <w:textAlignment w:val="auto"/>
              <w:rPr>
                <w:rFonts w:hint="eastAsia" w:ascii="仿宋" w:hAnsi="仿宋" w:eastAsia="仿宋" w:cs="仿宋"/>
                <w:b/>
                <w:bCs/>
                <w:sz w:val="24"/>
                <w:szCs w:val="24"/>
                <w:vertAlign w:val="baseline"/>
                <w:lang w:val="en-US" w:eastAsia="zh-CN"/>
              </w:rPr>
            </w:pPr>
            <w:r>
              <w:rPr>
                <w:rFonts w:hint="eastAsia" w:ascii="华文仿宋" w:hAnsi="华文仿宋" w:eastAsia="华文仿宋" w:cs="华文仿宋"/>
                <w:b/>
                <w:bCs/>
                <w:i w:val="0"/>
                <w:iCs w:val="0"/>
                <w:caps w:val="0"/>
                <w:spacing w:val="0"/>
                <w:sz w:val="24"/>
                <w:szCs w:val="24"/>
                <w:shd w:val="clear" w:color="auto" w:fill="FFFFFF"/>
              </w:rPr>
              <w:t>突破国外对高端温度传感器的技术垄断，满足化工、能源等领域对±0.1℃级精度的需求。</w:t>
            </w:r>
            <w:r>
              <w:rPr>
                <w:rFonts w:hint="eastAsia" w:ascii="华文仿宋" w:hAnsi="华文仿宋" w:eastAsia="华文仿宋" w:cs="华文仿宋"/>
                <w:b/>
                <w:bCs/>
                <w:i w:val="0"/>
                <w:iCs w:val="0"/>
                <w:caps w:val="0"/>
                <w:spacing w:val="0"/>
                <w:sz w:val="24"/>
                <w:szCs w:val="24"/>
                <w:shd w:val="clear" w:color="auto" w:fill="FFFFFF"/>
              </w:rPr>
              <w:br w:type="textWrapping"/>
            </w:r>
            <w:r>
              <w:rPr>
                <w:rFonts w:hint="eastAsia" w:ascii="华文仿宋" w:hAnsi="华文仿宋" w:eastAsia="华文仿宋" w:cs="华文仿宋"/>
                <w:b/>
                <w:bCs/>
                <w:i w:val="0"/>
                <w:iCs w:val="0"/>
                <w:caps w:val="0"/>
                <w:spacing w:val="0"/>
                <w:sz w:val="24"/>
                <w:szCs w:val="24"/>
                <w:shd w:val="clear" w:color="auto" w:fill="FFFFFF"/>
              </w:rPr>
              <w:t>测量范围</w:t>
            </w:r>
            <w:r>
              <w:rPr>
                <w:rFonts w:hint="eastAsia" w:ascii="华文仿宋" w:hAnsi="华文仿宋" w:eastAsia="华文仿宋" w:cs="华文仿宋"/>
                <w:b/>
                <w:bCs/>
                <w:i w:val="0"/>
                <w:iCs w:val="0"/>
                <w:caps w:val="0"/>
                <w:spacing w:val="0"/>
                <w:sz w:val="24"/>
                <w:szCs w:val="24"/>
                <w:shd w:val="clear" w:color="auto" w:fill="FFFFFF"/>
                <w:lang w:eastAsia="zh-CN"/>
              </w:rPr>
              <w:t>：</w:t>
            </w:r>
            <w:r>
              <w:rPr>
                <w:rFonts w:hint="eastAsia" w:ascii="华文仿宋" w:hAnsi="华文仿宋" w:eastAsia="华文仿宋" w:cs="华文仿宋"/>
                <w:b/>
                <w:bCs/>
                <w:i w:val="0"/>
                <w:iCs w:val="0"/>
                <w:caps w:val="0"/>
                <w:spacing w:val="0"/>
                <w:sz w:val="24"/>
                <w:szCs w:val="24"/>
                <w:shd w:val="clear" w:color="auto" w:fill="FFFFFF"/>
              </w:rPr>
              <w:t>-200℃~1200℃（分段覆盖）</w:t>
            </w:r>
            <w:r>
              <w:rPr>
                <w:rFonts w:hint="eastAsia" w:ascii="华文仿宋" w:hAnsi="华文仿宋" w:eastAsia="华文仿宋" w:cs="华文仿宋"/>
                <w:b/>
                <w:bCs/>
                <w:i w:val="0"/>
                <w:iCs w:val="0"/>
                <w:caps w:val="0"/>
                <w:spacing w:val="0"/>
                <w:sz w:val="24"/>
                <w:szCs w:val="24"/>
                <w:shd w:val="clear" w:color="auto" w:fill="FFFFFF"/>
                <w:lang w:eastAsia="zh-CN"/>
              </w:rPr>
              <w:t>；</w:t>
            </w:r>
            <w:r>
              <w:rPr>
                <w:rFonts w:hint="eastAsia" w:ascii="华文仿宋" w:hAnsi="华文仿宋" w:eastAsia="华文仿宋" w:cs="华文仿宋"/>
                <w:b/>
                <w:bCs/>
                <w:i w:val="0"/>
                <w:iCs w:val="0"/>
                <w:caps w:val="0"/>
                <w:spacing w:val="0"/>
                <w:sz w:val="24"/>
                <w:szCs w:val="24"/>
                <w:shd w:val="clear" w:color="auto" w:fill="FFFFFF"/>
              </w:rPr>
              <w:t>长期稳定性：年漂移≤0.05℃；通信协议：支持HART/Modbus双模；国产化率：核心敏感元件（如铂电阻）自主化率≥90%。</w:t>
            </w:r>
          </w:p>
        </w:tc>
        <w:tc>
          <w:tcPr>
            <w:tcW w:w="1480" w:type="dxa"/>
            <w:vMerge w:val="restart"/>
            <w:noWrap w:val="0"/>
            <w:vAlign w:val="center"/>
          </w:tcPr>
          <w:p w14:paraId="5D00B935">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江苏杰创科技有限公司</w:t>
            </w:r>
          </w:p>
        </w:tc>
      </w:tr>
      <w:tr w14:paraId="6CE31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50B71B64">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17</w:t>
            </w:r>
          </w:p>
        </w:tc>
        <w:tc>
          <w:tcPr>
            <w:tcW w:w="1620" w:type="dxa"/>
            <w:noWrap w:val="0"/>
            <w:vAlign w:val="center"/>
          </w:tcPr>
          <w:p w14:paraId="384F15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仿宋" w:hAnsi="仿宋" w:eastAsia="仿宋" w:cs="仿宋"/>
                <w:b/>
                <w:bCs/>
                <w:i w:val="0"/>
                <w:iCs w:val="0"/>
                <w:caps w:val="0"/>
                <w:spacing w:val="0"/>
                <w:sz w:val="24"/>
                <w:szCs w:val="24"/>
              </w:rPr>
            </w:pPr>
            <w:r>
              <w:rPr>
                <w:rStyle w:val="10"/>
                <w:rFonts w:hint="eastAsia" w:ascii="仿宋" w:hAnsi="仿宋" w:eastAsia="仿宋" w:cs="仿宋"/>
                <w:b/>
                <w:bCs/>
                <w:i w:val="0"/>
                <w:iCs w:val="0"/>
                <w:caps w:val="0"/>
                <w:spacing w:val="0"/>
                <w:sz w:val="24"/>
                <w:szCs w:val="24"/>
                <w:shd w:val="clear" w:color="auto" w:fill="FFFFFF"/>
              </w:rPr>
              <w:t>多参数集成化热工仪表开发</w:t>
            </w:r>
          </w:p>
          <w:p w14:paraId="3E66B4C3">
            <w:pPr>
              <w:keepNext w:val="0"/>
              <w:keepLines w:val="0"/>
              <w:pageBreakBefore w:val="0"/>
              <w:widowControl w:val="0"/>
              <w:kinsoku/>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24"/>
                <w:szCs w:val="24"/>
                <w:vertAlign w:val="baseline"/>
                <w:lang w:val="en-US" w:eastAsia="zh-CN"/>
              </w:rPr>
            </w:pPr>
          </w:p>
        </w:tc>
        <w:tc>
          <w:tcPr>
            <w:tcW w:w="5040" w:type="dxa"/>
            <w:noWrap w:val="0"/>
            <w:vAlign w:val="top"/>
          </w:tcPr>
          <w:p w14:paraId="05E641C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val="0"/>
              <w:snapToGrid w:val="0"/>
              <w:spacing w:before="0" w:beforeAutospacing="0" w:after="0" w:afterAutospacing="0" w:line="240" w:lineRule="auto"/>
              <w:ind w:left="0" w:right="0" w:firstLine="0"/>
              <w:jc w:val="left"/>
              <w:textAlignment w:val="auto"/>
              <w:rPr>
                <w:rFonts w:hint="eastAsia" w:ascii="仿宋" w:hAnsi="仿宋" w:eastAsia="仿宋" w:cs="仿宋"/>
                <w:b/>
                <w:bCs/>
                <w:sz w:val="24"/>
                <w:szCs w:val="24"/>
                <w:vertAlign w:val="baseline"/>
                <w:lang w:val="en-US" w:eastAsia="zh-CN"/>
              </w:rPr>
            </w:pPr>
            <w:r>
              <w:rPr>
                <w:rFonts w:hint="eastAsia" w:ascii="华文仿宋" w:hAnsi="华文仿宋" w:eastAsia="华文仿宋" w:cs="华文仿宋"/>
                <w:b/>
                <w:bCs/>
                <w:i w:val="0"/>
                <w:iCs w:val="0"/>
                <w:caps w:val="0"/>
                <w:spacing w:val="0"/>
                <w:sz w:val="24"/>
                <w:szCs w:val="24"/>
                <w:shd w:val="clear" w:color="auto" w:fill="FFFFFF"/>
              </w:rPr>
              <w:t>解决用户对流量、温度、压力一体化测量的需求，降低安装复杂度。集成参数：同步测量温度（-50~600℃）、压力（0~40MPa）、流量（0.5~50m/s）；数据融合误差：≤0.5%FS；防护等级：IP68，防爆认证（Ex dⅠICT6）；自适应校准：环境温度补偿误差≤±0.2%。</w:t>
            </w:r>
          </w:p>
        </w:tc>
        <w:tc>
          <w:tcPr>
            <w:tcW w:w="1480" w:type="dxa"/>
            <w:vMerge w:val="continue"/>
            <w:noWrap w:val="0"/>
            <w:vAlign w:val="top"/>
          </w:tcPr>
          <w:p w14:paraId="06CEC6FD">
            <w:pPr>
              <w:widowControl w:val="0"/>
              <w:jc w:val="center"/>
              <w:rPr>
                <w:rFonts w:hint="eastAsia" w:ascii="仿宋" w:hAnsi="仿宋" w:eastAsia="仿宋" w:cs="仿宋"/>
                <w:b/>
                <w:bCs/>
                <w:sz w:val="24"/>
                <w:szCs w:val="24"/>
                <w:vertAlign w:val="baseline"/>
                <w:lang w:val="en-US" w:eastAsia="zh-CN"/>
              </w:rPr>
            </w:pPr>
          </w:p>
        </w:tc>
      </w:tr>
      <w:tr w14:paraId="69D60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6CAF5B2C">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18</w:t>
            </w:r>
          </w:p>
        </w:tc>
        <w:tc>
          <w:tcPr>
            <w:tcW w:w="1620" w:type="dxa"/>
            <w:noWrap w:val="0"/>
            <w:vAlign w:val="center"/>
          </w:tcPr>
          <w:p w14:paraId="291BCF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仿宋" w:hAnsi="仿宋" w:eastAsia="仿宋" w:cs="仿宋"/>
                <w:b/>
                <w:bCs/>
                <w:i w:val="0"/>
                <w:iCs w:val="0"/>
                <w:caps w:val="0"/>
                <w:spacing w:val="0"/>
                <w:sz w:val="24"/>
                <w:szCs w:val="24"/>
              </w:rPr>
            </w:pPr>
            <w:r>
              <w:rPr>
                <w:rStyle w:val="10"/>
                <w:rFonts w:hint="eastAsia" w:ascii="仿宋" w:hAnsi="仿宋" w:eastAsia="仿宋" w:cs="仿宋"/>
                <w:b/>
                <w:bCs/>
                <w:i w:val="0"/>
                <w:iCs w:val="0"/>
                <w:caps w:val="0"/>
                <w:spacing w:val="0"/>
                <w:sz w:val="24"/>
                <w:szCs w:val="24"/>
                <w:shd w:val="clear" w:color="auto" w:fill="FFFFFF"/>
              </w:rPr>
              <w:t>基于AI的预测性维护系统</w:t>
            </w:r>
          </w:p>
          <w:p w14:paraId="3D37C44C">
            <w:pPr>
              <w:keepNext w:val="0"/>
              <w:keepLines w:val="0"/>
              <w:pageBreakBefore w:val="0"/>
              <w:widowControl w:val="0"/>
              <w:kinsoku/>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24"/>
                <w:szCs w:val="24"/>
                <w:vertAlign w:val="baseline"/>
                <w:lang w:val="en-US" w:eastAsia="zh-CN"/>
              </w:rPr>
            </w:pPr>
          </w:p>
        </w:tc>
        <w:tc>
          <w:tcPr>
            <w:tcW w:w="5040" w:type="dxa"/>
            <w:noWrap w:val="0"/>
            <w:vAlign w:val="top"/>
          </w:tcPr>
          <w:p w14:paraId="464DE88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val="0"/>
              <w:snapToGrid w:val="0"/>
              <w:spacing w:before="0" w:beforeAutospacing="0" w:after="0" w:afterAutospacing="0" w:line="240" w:lineRule="auto"/>
              <w:ind w:left="0" w:right="0" w:firstLine="0"/>
              <w:jc w:val="left"/>
              <w:textAlignment w:val="auto"/>
              <w:rPr>
                <w:rFonts w:hint="eastAsia" w:ascii="仿宋" w:hAnsi="仿宋" w:eastAsia="仿宋" w:cs="仿宋"/>
                <w:b/>
                <w:bCs/>
                <w:sz w:val="24"/>
                <w:szCs w:val="24"/>
                <w:vertAlign w:val="baseline"/>
                <w:lang w:val="en-US" w:eastAsia="zh-CN"/>
              </w:rPr>
            </w:pPr>
            <w:r>
              <w:rPr>
                <w:rFonts w:hint="eastAsia" w:ascii="华文仿宋" w:hAnsi="华文仿宋" w:eastAsia="华文仿宋" w:cs="华文仿宋"/>
                <w:b/>
                <w:bCs/>
                <w:i w:val="0"/>
                <w:iCs w:val="0"/>
                <w:caps w:val="0"/>
                <w:spacing w:val="0"/>
                <w:sz w:val="24"/>
                <w:szCs w:val="24"/>
                <w:shd w:val="clear" w:color="auto" w:fill="FFFFFF"/>
              </w:rPr>
              <w:t>通过智能化提升仪表运维效率，减少非计划停机。故障预警准确率：≥95%（基于历史数据训练）；支持设备类型：覆盖公司80%以上热工仪表产品；边缘计算能力：响应延迟≤200ms；兼容性：支持对接主流工业云平台（如MindSphere、阿里云工业大脑）。寿命周期：≥10年（高温环境下）。</w:t>
            </w:r>
          </w:p>
        </w:tc>
        <w:tc>
          <w:tcPr>
            <w:tcW w:w="1480" w:type="dxa"/>
            <w:vMerge w:val="continue"/>
            <w:noWrap w:val="0"/>
            <w:vAlign w:val="top"/>
          </w:tcPr>
          <w:p w14:paraId="1E102DD9">
            <w:pPr>
              <w:widowControl w:val="0"/>
              <w:jc w:val="center"/>
              <w:rPr>
                <w:rFonts w:hint="eastAsia" w:ascii="仿宋" w:hAnsi="仿宋" w:eastAsia="仿宋" w:cs="仿宋"/>
                <w:b/>
                <w:bCs/>
                <w:sz w:val="24"/>
                <w:szCs w:val="24"/>
                <w:vertAlign w:val="baseline"/>
                <w:lang w:val="en-US" w:eastAsia="zh-CN"/>
              </w:rPr>
            </w:pPr>
          </w:p>
        </w:tc>
      </w:tr>
      <w:tr w14:paraId="0E21C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noWrap w:val="0"/>
            <w:vAlign w:val="center"/>
          </w:tcPr>
          <w:p w14:paraId="3CA733DF">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19</w:t>
            </w:r>
          </w:p>
        </w:tc>
        <w:tc>
          <w:tcPr>
            <w:tcW w:w="1620" w:type="dxa"/>
            <w:noWrap w:val="0"/>
            <w:vAlign w:val="center"/>
          </w:tcPr>
          <w:p w14:paraId="6F51907B">
            <w:pPr>
              <w:keepNext w:val="0"/>
              <w:keepLines w:val="0"/>
              <w:pageBreakBefore w:val="0"/>
              <w:widowControl w:val="0"/>
              <w:numPr>
                <w:ilvl w:val="0"/>
                <w:numId w:val="0"/>
              </w:numPr>
              <w:kinsoku/>
              <w:wordWrap/>
              <w:overflowPunct/>
              <w:topLinePunct w:val="0"/>
              <w:autoSpaceDE/>
              <w:autoSpaceDN/>
              <w:bidi w:val="0"/>
              <w:adjustRightInd w:val="0"/>
              <w:snapToGrid w:val="0"/>
              <w:ind w:leftChars="0"/>
              <w:jc w:val="center"/>
              <w:textAlignment w:val="auto"/>
              <w:rPr>
                <w:rFonts w:hint="eastAsia" w:ascii="仿宋" w:hAnsi="仿宋" w:eastAsia="仿宋" w:cs="仿宋"/>
                <w:b/>
                <w:bCs/>
                <w:i w:val="0"/>
                <w:iCs w:val="0"/>
                <w:caps w:val="0"/>
                <w:color w:val="000000"/>
                <w:spacing w:val="0"/>
                <w:sz w:val="24"/>
                <w:szCs w:val="24"/>
                <w:shd w:val="clear" w:color="auto" w:fill="FFFFFF"/>
              </w:rPr>
            </w:pPr>
            <w:r>
              <w:rPr>
                <w:rFonts w:hint="eastAsia" w:ascii="仿宋" w:hAnsi="仿宋" w:eastAsia="仿宋" w:cs="仿宋"/>
                <w:b/>
                <w:bCs/>
                <w:i w:val="0"/>
                <w:iCs w:val="0"/>
                <w:caps w:val="0"/>
                <w:color w:val="000000"/>
                <w:spacing w:val="0"/>
                <w:sz w:val="24"/>
                <w:szCs w:val="24"/>
                <w:shd w:val="clear" w:color="auto" w:fill="FFFFFF"/>
              </w:rPr>
              <w:t>基于边缘计算的AI诊断流量计</w:t>
            </w:r>
          </w:p>
          <w:p w14:paraId="341E54A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b/>
                <w:bCs/>
                <w:sz w:val="24"/>
                <w:szCs w:val="24"/>
                <w:vertAlign w:val="baseline"/>
                <w:lang w:val="en-US" w:eastAsia="zh-CN"/>
              </w:rPr>
            </w:pPr>
          </w:p>
        </w:tc>
        <w:tc>
          <w:tcPr>
            <w:tcW w:w="5040" w:type="dxa"/>
            <w:noWrap w:val="0"/>
            <w:vAlign w:val="top"/>
          </w:tcPr>
          <w:p w14:paraId="3805DD54">
            <w:pPr>
              <w:keepNext w:val="0"/>
              <w:keepLines w:val="0"/>
              <w:pageBreakBefore w:val="0"/>
              <w:widowControl w:val="0"/>
              <w:numPr>
                <w:ilvl w:val="0"/>
                <w:numId w:val="0"/>
              </w:numPr>
              <w:kinsoku/>
              <w:wordWrap/>
              <w:overflowPunct/>
              <w:topLinePunct w:val="0"/>
              <w:autoSpaceDE/>
              <w:autoSpaceDN/>
              <w:bidi w:val="0"/>
              <w:adjustRightInd w:val="0"/>
              <w:snapToGrid w:val="0"/>
              <w:ind w:leftChars="0"/>
              <w:textAlignment w:val="auto"/>
              <w:rPr>
                <w:rFonts w:hint="eastAsia" w:ascii="仿宋" w:hAnsi="仿宋" w:eastAsia="仿宋" w:cs="仿宋"/>
                <w:b/>
                <w:bCs/>
                <w:sz w:val="24"/>
                <w:szCs w:val="24"/>
                <w:vertAlign w:val="baseline"/>
                <w:lang w:val="en-US" w:eastAsia="zh-CN"/>
              </w:rPr>
            </w:pPr>
            <w:r>
              <w:rPr>
                <w:rFonts w:hint="eastAsia" w:ascii="华文仿宋" w:hAnsi="华文仿宋" w:eastAsia="华文仿宋" w:cs="华文仿宋"/>
                <w:b/>
                <w:bCs/>
                <w:i w:val="0"/>
                <w:iCs w:val="0"/>
                <w:caps w:val="0"/>
                <w:color w:val="000000"/>
                <w:spacing w:val="0"/>
                <w:sz w:val="24"/>
                <w:szCs w:val="24"/>
                <w:shd w:val="clear" w:color="auto" w:fill="FFFFFF"/>
              </w:rPr>
              <w:t>通过实时数据分析和故障预测，降低石化行业管道维护成本。诊断功能：识别堵塞、空管、气泡等6类异常（准确率≥98%）；边缘算力：支持TensorFlow Lite模型推理（响应时间≤100ms）；通信协议：兼容5G模组+有线冗余（PROFINET）。</w:t>
            </w:r>
          </w:p>
        </w:tc>
        <w:tc>
          <w:tcPr>
            <w:tcW w:w="1480" w:type="dxa"/>
            <w:vMerge w:val="continue"/>
            <w:noWrap w:val="0"/>
            <w:vAlign w:val="top"/>
          </w:tcPr>
          <w:p w14:paraId="4837B2C8">
            <w:pPr>
              <w:widowControl w:val="0"/>
              <w:jc w:val="center"/>
              <w:rPr>
                <w:rFonts w:hint="eastAsia" w:ascii="仿宋" w:hAnsi="仿宋" w:eastAsia="仿宋" w:cs="仿宋"/>
                <w:b/>
                <w:bCs/>
                <w:sz w:val="24"/>
                <w:szCs w:val="24"/>
                <w:vertAlign w:val="baseline"/>
                <w:lang w:val="en-US" w:eastAsia="zh-CN"/>
              </w:rPr>
            </w:pPr>
          </w:p>
        </w:tc>
      </w:tr>
      <w:tr w14:paraId="79B82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776" w:type="dxa"/>
            <w:noWrap w:val="0"/>
            <w:vAlign w:val="center"/>
          </w:tcPr>
          <w:p w14:paraId="5CE6B158">
            <w:pPr>
              <w:widowControl w:val="0"/>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20</w:t>
            </w:r>
          </w:p>
        </w:tc>
        <w:tc>
          <w:tcPr>
            <w:tcW w:w="1620" w:type="dxa"/>
            <w:noWrap w:val="0"/>
            <w:vAlign w:val="center"/>
          </w:tcPr>
          <w:p w14:paraId="38ABCF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仿宋" w:hAnsi="仿宋" w:eastAsia="仿宋" w:cs="仿宋"/>
                <w:b/>
                <w:bCs/>
                <w:i w:val="0"/>
                <w:iCs w:val="0"/>
                <w:caps w:val="0"/>
                <w:spacing w:val="0"/>
                <w:sz w:val="24"/>
                <w:szCs w:val="24"/>
              </w:rPr>
            </w:pPr>
            <w:r>
              <w:rPr>
                <w:rStyle w:val="10"/>
                <w:rFonts w:hint="eastAsia" w:ascii="仿宋" w:hAnsi="仿宋" w:eastAsia="仿宋" w:cs="仿宋"/>
                <w:b/>
                <w:bCs/>
                <w:i w:val="0"/>
                <w:iCs w:val="0"/>
                <w:caps w:val="0"/>
                <w:spacing w:val="0"/>
                <w:sz w:val="24"/>
                <w:szCs w:val="24"/>
                <w:shd w:val="clear" w:color="auto" w:fill="FFFFFF"/>
              </w:rPr>
              <w:t>超高温耐腐蚀压力变送器</w:t>
            </w:r>
          </w:p>
          <w:p w14:paraId="4D78350C">
            <w:pPr>
              <w:widowControl w:val="0"/>
              <w:spacing w:line="240" w:lineRule="auto"/>
              <w:jc w:val="center"/>
              <w:rPr>
                <w:rFonts w:hint="eastAsia" w:ascii="仿宋" w:hAnsi="仿宋" w:eastAsia="仿宋" w:cs="仿宋"/>
                <w:b/>
                <w:bCs/>
                <w:sz w:val="24"/>
                <w:szCs w:val="24"/>
                <w:vertAlign w:val="baseline"/>
                <w:lang w:val="en-US" w:eastAsia="zh-CN"/>
              </w:rPr>
            </w:pPr>
          </w:p>
        </w:tc>
        <w:tc>
          <w:tcPr>
            <w:tcW w:w="5040" w:type="dxa"/>
            <w:noWrap w:val="0"/>
            <w:vAlign w:val="top"/>
          </w:tcPr>
          <w:p w14:paraId="3807A27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val="0"/>
              <w:snapToGrid w:val="0"/>
              <w:spacing w:before="0" w:beforeAutospacing="0" w:after="0" w:afterAutospacing="0" w:line="240" w:lineRule="auto"/>
              <w:ind w:left="0" w:right="0" w:firstLine="0"/>
              <w:jc w:val="left"/>
              <w:textAlignment w:val="auto"/>
              <w:rPr>
                <w:rFonts w:hint="eastAsia" w:ascii="仿宋" w:hAnsi="仿宋" w:eastAsia="仿宋" w:cs="仿宋"/>
                <w:b/>
                <w:bCs/>
                <w:sz w:val="24"/>
                <w:szCs w:val="24"/>
                <w:vertAlign w:val="baseline"/>
                <w:lang w:val="en-US" w:eastAsia="zh-CN"/>
              </w:rPr>
            </w:pPr>
            <w:r>
              <w:rPr>
                <w:rFonts w:hint="eastAsia" w:ascii="华文仿宋" w:hAnsi="华文仿宋" w:eastAsia="华文仿宋" w:cs="华文仿宋"/>
                <w:b/>
                <w:bCs/>
                <w:i w:val="0"/>
                <w:iCs w:val="0"/>
                <w:caps w:val="0"/>
                <w:spacing w:val="0"/>
                <w:sz w:val="24"/>
                <w:szCs w:val="24"/>
                <w:shd w:val="clear" w:color="auto" w:fill="FFFFFF"/>
              </w:rPr>
              <w:t>针对冶金、石化行业极端工况，替代进口品牌。耐温范围：-196℃~800℃（短期峰值1000℃）；耐腐蚀性：耐受H2S、Cl-等介质（符合NACE MR0175标准）；过载能力：200%FS不损坏</w:t>
            </w:r>
            <w:r>
              <w:rPr>
                <w:rFonts w:hint="eastAsia" w:ascii="华文仿宋" w:hAnsi="华文仿宋" w:eastAsia="华文仿宋" w:cs="华文仿宋"/>
                <w:b/>
                <w:bCs/>
                <w:i w:val="0"/>
                <w:iCs w:val="0"/>
                <w:caps w:val="0"/>
                <w:spacing w:val="0"/>
                <w:sz w:val="24"/>
                <w:szCs w:val="24"/>
                <w:shd w:val="clear" w:color="auto" w:fill="FFFFFF"/>
                <w:lang w:eastAsia="zh-CN"/>
              </w:rPr>
              <w:t>。</w:t>
            </w:r>
          </w:p>
        </w:tc>
        <w:tc>
          <w:tcPr>
            <w:tcW w:w="1480" w:type="dxa"/>
            <w:vMerge w:val="continue"/>
            <w:noWrap w:val="0"/>
            <w:vAlign w:val="top"/>
          </w:tcPr>
          <w:p w14:paraId="1506E0CD">
            <w:pPr>
              <w:widowControl w:val="0"/>
              <w:jc w:val="center"/>
              <w:rPr>
                <w:rFonts w:hint="eastAsia" w:ascii="仿宋" w:hAnsi="仿宋" w:eastAsia="仿宋" w:cs="仿宋"/>
                <w:b/>
                <w:bCs/>
                <w:sz w:val="24"/>
                <w:szCs w:val="24"/>
                <w:vertAlign w:val="baseline"/>
                <w:lang w:val="en-US" w:eastAsia="zh-CN"/>
              </w:rPr>
            </w:pPr>
          </w:p>
        </w:tc>
      </w:tr>
    </w:tbl>
    <w:p w14:paraId="4C2F075E">
      <w:pPr>
        <w:jc w:val="center"/>
        <w:rPr>
          <w:rFonts w:hint="eastAsia" w:ascii="仿宋" w:hAnsi="仿宋" w:eastAsia="仿宋" w:cs="仿宋"/>
          <w:b/>
          <w:bCs/>
          <w:sz w:val="24"/>
          <w:szCs w:val="24"/>
          <w:lang w:val="en-US" w:eastAsia="zh-CN"/>
        </w:rPr>
      </w:pPr>
    </w:p>
    <w:p w14:paraId="2F169FA3">
      <w:pPr>
        <w:pStyle w:val="2"/>
        <w:spacing w:before="51" w:line="224" w:lineRule="auto"/>
        <w:ind w:left="133"/>
        <w:rPr>
          <w:sz w:val="21"/>
          <w:szCs w:val="21"/>
        </w:rPr>
      </w:pPr>
    </w:p>
    <w:p w14:paraId="1875D835">
      <w:pPr>
        <w:pStyle w:val="6"/>
        <w:keepNext w:val="0"/>
        <w:keepLines w:val="0"/>
        <w:widowControl/>
        <w:suppressLineNumbers w:val="0"/>
        <w:jc w:val="right"/>
        <w:rPr>
          <w:rStyle w:val="10"/>
          <w:rFonts w:ascii="新宋体" w:hAnsi="新宋体" w:eastAsia="新宋体" w:cs="新宋体"/>
          <w:color w:val="000000"/>
          <w:spacing w:val="-6"/>
          <w:sz w:val="21"/>
          <w:szCs w:val="21"/>
        </w:rPr>
      </w:pPr>
      <w:r>
        <w:rPr>
          <w:rStyle w:val="10"/>
          <w:rFonts w:hint="eastAsia" w:ascii="新宋体" w:hAnsi="新宋体" w:eastAsia="新宋体" w:cs="新宋体"/>
          <w:color w:val="000000"/>
          <w:spacing w:val="-6"/>
          <w:sz w:val="21"/>
          <w:szCs w:val="21"/>
          <w:lang w:val="en-US" w:eastAsia="zh-CN"/>
        </w:rPr>
        <w:t>来源：</w:t>
      </w:r>
      <w:r>
        <w:rPr>
          <w:rStyle w:val="10"/>
          <w:rFonts w:ascii="新宋体" w:hAnsi="新宋体" w:eastAsia="新宋体" w:cs="新宋体"/>
          <w:color w:val="000000"/>
          <w:spacing w:val="-6"/>
          <w:sz w:val="21"/>
          <w:szCs w:val="21"/>
        </w:rPr>
        <w:t>淮安市电子学会</w:t>
      </w:r>
    </w:p>
    <w:p w14:paraId="4C7EFFAA">
      <w:pPr>
        <w:pStyle w:val="6"/>
        <w:keepNext w:val="0"/>
        <w:keepLines w:val="0"/>
        <w:widowControl/>
        <w:suppressLineNumbers w:val="0"/>
        <w:jc w:val="right"/>
        <w:rPr>
          <w:rStyle w:val="10"/>
          <w:rFonts w:ascii="新宋体" w:hAnsi="新宋体" w:eastAsia="新宋体" w:cs="新宋体"/>
          <w:color w:val="000000"/>
          <w:spacing w:val="-6"/>
          <w:sz w:val="21"/>
          <w:szCs w:val="21"/>
        </w:rPr>
      </w:pPr>
      <w:r>
        <w:rPr>
          <w:rStyle w:val="10"/>
          <w:rFonts w:hint="eastAsia" w:ascii="新宋体" w:hAnsi="新宋体" w:eastAsia="新宋体" w:cs="新宋体"/>
          <w:color w:val="000000"/>
          <w:spacing w:val="-6"/>
          <w:sz w:val="21"/>
          <w:szCs w:val="21"/>
        </w:rPr>
        <w:t>2025年10月2日</w:t>
      </w:r>
    </w:p>
    <w:p w14:paraId="26B53F2A">
      <w:pPr>
        <w:pStyle w:val="2"/>
        <w:spacing w:before="51" w:line="224" w:lineRule="auto"/>
        <w:ind w:left="133"/>
        <w:rPr>
          <w:rFonts w:hint="eastAsia" w:eastAsia="仿宋"/>
          <w:sz w:val="21"/>
          <w:szCs w:val="21"/>
          <w:lang w:val="en-US" w:eastAsia="zh-CN"/>
        </w:rPr>
      </w:pPr>
      <w:bookmarkStart w:id="2" w:name="_GoBack"/>
      <w:bookmarkEnd w:id="2"/>
    </w:p>
    <w:sectPr>
      <w:footerReference r:id="rId5" w:type="default"/>
      <w:pgSz w:w="11906" w:h="16839"/>
      <w:pgMar w:top="1431" w:right="1376" w:bottom="1417" w:left="1682"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45173">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2499360</wp:posOffset>
              </wp:positionH>
              <wp:positionV relativeFrom="paragraph">
                <wp:posOffset>-590550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1F023B">
                          <w:pPr>
                            <w:pStyle w:val="4"/>
                            <w:rPr>
                              <w:rFonts w:hint="default" w:ascii="Times New Roman" w:hAnsi="Times New Roman" w:eastAsia="仿宋" w:cs="Times New Roman"/>
                              <w:sz w:val="24"/>
                              <w:szCs w:val="24"/>
                            </w:rPr>
                          </w:pPr>
                          <w:r>
                            <w:rPr>
                              <w:rFonts w:hint="default" w:ascii="Times New Roman" w:hAnsi="Times New Roman" w:eastAsia="仿宋" w:cs="Times New Roman"/>
                              <w:sz w:val="24"/>
                              <w:szCs w:val="24"/>
                            </w:rPr>
                            <w:t xml:space="preserve">第 </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 xml:space="preserve"> 页 共 </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NUMPAGES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6.8pt;margin-top:-46.5pt;height:144pt;width:144pt;mso-position-horizontal-relative:margin;mso-wrap-style:none;z-index:251659264;mso-width-relative:page;mso-height-relative:page;" filled="f" stroked="f" coordsize="21600,21600" o:gfxdata="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GUlmjjYAAAACwEAAA8AAAAAAAAAAQAgAAAAIgAAAGRycy9kb3ducmV2Lnht&#10;bFBLAQIUABQAAAAIAIdO4kDhgNOOMgIAAGEEAAAOAAAAAAAAAAEAIAAAACcBAABkcnMvZTJvRG9j&#10;LnhtbFBLBQYAAAAABgAGAFkBAADLBQAAAAA=&#10;">
              <v:fill on="f" focussize="0,0"/>
              <v:stroke on="f" weight="0.5pt"/>
              <v:imagedata o:title=""/>
              <o:lock v:ext="edit" aspectratio="f"/>
              <v:textbox inset="0mm,0mm,0mm,0mm" style="mso-fit-shape-to-text:t;">
                <w:txbxContent>
                  <w:p w14:paraId="491F023B">
                    <w:pPr>
                      <w:pStyle w:val="4"/>
                      <w:rPr>
                        <w:rFonts w:hint="default" w:ascii="Times New Roman" w:hAnsi="Times New Roman" w:eastAsia="仿宋" w:cs="Times New Roman"/>
                        <w:sz w:val="24"/>
                        <w:szCs w:val="24"/>
                      </w:rPr>
                    </w:pPr>
                    <w:r>
                      <w:rPr>
                        <w:rFonts w:hint="default" w:ascii="Times New Roman" w:hAnsi="Times New Roman" w:eastAsia="仿宋" w:cs="Times New Roman"/>
                        <w:sz w:val="24"/>
                        <w:szCs w:val="24"/>
                      </w:rPr>
                      <w:t xml:space="preserve">第 </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 xml:space="preserve"> 页 共 </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NUMPAGES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10D4F4D"/>
    <w:rsid w:val="0EDB0983"/>
    <w:rsid w:val="1375208B"/>
    <w:rsid w:val="14E82BDD"/>
    <w:rsid w:val="25A50B76"/>
    <w:rsid w:val="316E7F2D"/>
    <w:rsid w:val="3C086DED"/>
    <w:rsid w:val="46A368AE"/>
    <w:rsid w:val="51080F9B"/>
    <w:rsid w:val="59554EC3"/>
    <w:rsid w:val="68455458"/>
    <w:rsid w:val="737F77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100" w:beforeAutospacing="1" w:after="100" w:afterAutospacing="1"/>
      <w:ind w:left="0" w:right="0"/>
      <w:jc w:val="left"/>
    </w:pPr>
    <w:rPr>
      <w:kern w:val="0"/>
      <w:sz w:val="24"/>
      <w:lang w:val="en-US" w:eastAsia="zh-CN" w:bidi="ar"/>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Text"/>
    <w:basedOn w:val="1"/>
    <w:semiHidden/>
    <w:qFormat/>
    <w:uiPriority w:val="0"/>
    <w:rPr>
      <w:rFonts w:ascii="仿宋" w:hAnsi="仿宋" w:eastAsia="仿宋" w:cs="仿宋"/>
      <w:sz w:val="24"/>
      <w:szCs w:val="24"/>
      <w:lang w:val="en-US" w:eastAsia="en-US" w:bidi="ar-SA"/>
    </w:rPr>
  </w:style>
  <w:style w:type="character" w:customStyle="1" w:styleId="13">
    <w:name w:val="font41"/>
    <w:basedOn w:val="9"/>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2373</Words>
  <Characters>2649</Characters>
  <TotalTime>12</TotalTime>
  <ScaleCrop>false</ScaleCrop>
  <LinksUpToDate>false</LinksUpToDate>
  <CharactersWithSpaces>2745</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2025-03-25T17:54:00Z</dcterms:created>
  <dc:creator>zhang</dc:creator>
  <cp:lastModifiedBy>李辉</cp:lastModifiedBy>
  <dcterms:modified xsi:type="dcterms:W3CDTF">2025-10-09T02:45:15Z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2025-08-26T08:58:33Z</vt:filetime>
  </property>
  <property fmtid="{D5CDD505-2E9C-101B-9397-08002B2CF9AE}" pid="4" name="KSOTemplateDocerSaveRecord">
    <vt:lpwstr>eyJoZGlkIjoiMWZiMTZmOThkYmEyYWJlOTQ1YWU0ZjU0ZWRhMmM1OGEiLCJ1c2VySWQiOiIyNTk2NDI2NTgifQ==</vt:lpwstr>
  </property>
  <property fmtid="{D5CDD505-2E9C-101B-9397-08002B2CF9AE}" pid="5" name="KSOProductBuildVer">
    <vt:lpwstr>2052-12.1.0.21915</vt:lpwstr>
  </property>
  <property fmtid="{D5CDD505-2E9C-101B-9397-08002B2CF9AE}" pid="6" name="ICV">
    <vt:lpwstr>87D1A75DF70E468EB2203CD7A13220CA</vt:lpwstr>
  </property>
</Properties>
</file>